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FE" w:rsidRPr="00693DFE" w:rsidRDefault="00693DFE">
      <w:pPr>
        <w:rPr>
          <w:b/>
          <w:sz w:val="14"/>
        </w:rPr>
      </w:pPr>
      <w:r>
        <w:rPr>
          <w:b/>
          <w:noProof/>
          <w:sz w:val="14"/>
          <w:lang w:eastAsia="en-GB"/>
        </w:rPr>
        <w:drawing>
          <wp:anchor distT="0" distB="0" distL="114300" distR="114300" simplePos="0" relativeHeight="251659264" behindDoc="0" locked="0" layoutInCell="1" allowOverlap="1">
            <wp:simplePos x="0" y="0"/>
            <wp:positionH relativeFrom="margin">
              <wp:posOffset>3204845</wp:posOffset>
            </wp:positionH>
            <wp:positionV relativeFrom="margin">
              <wp:posOffset>-615315</wp:posOffset>
            </wp:positionV>
            <wp:extent cx="2628900" cy="1590675"/>
            <wp:effectExtent l="1905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153" t="10779" r="9665" b="12575"/>
                    <a:stretch>
                      <a:fillRect/>
                    </a:stretch>
                  </pic:blipFill>
                  <pic:spPr bwMode="auto">
                    <a:xfrm>
                      <a:off x="0" y="0"/>
                      <a:ext cx="2628900" cy="1590675"/>
                    </a:xfrm>
                    <a:prstGeom prst="rect">
                      <a:avLst/>
                    </a:prstGeom>
                    <a:noFill/>
                    <a:ln>
                      <a:noFill/>
                    </a:ln>
                  </pic:spPr>
                </pic:pic>
              </a:graphicData>
            </a:graphic>
          </wp:anchor>
        </w:drawing>
      </w:r>
    </w:p>
    <w:p w:rsidR="00E56777" w:rsidRPr="007656F7" w:rsidRDefault="007E3D61">
      <w:pPr>
        <w:rPr>
          <w:b/>
          <w:sz w:val="28"/>
        </w:rPr>
      </w:pPr>
      <w:r w:rsidRPr="007656F7">
        <w:rPr>
          <w:b/>
          <w:sz w:val="40"/>
        </w:rPr>
        <w:t>Treasurer’s report</w:t>
      </w:r>
    </w:p>
    <w:p w:rsidR="007E3D61" w:rsidRPr="007656F7" w:rsidRDefault="007E3D61">
      <w:pPr>
        <w:rPr>
          <w:sz w:val="28"/>
        </w:rPr>
      </w:pPr>
    </w:p>
    <w:p w:rsidR="007E3D61" w:rsidRPr="007656F7" w:rsidRDefault="008B1877">
      <w:pPr>
        <w:rPr>
          <w:b/>
          <w:sz w:val="28"/>
        </w:rPr>
      </w:pPr>
      <w:r>
        <w:rPr>
          <w:b/>
          <w:sz w:val="28"/>
        </w:rPr>
        <w:t>ASDC AGM September 2016</w:t>
      </w:r>
    </w:p>
    <w:p w:rsidR="007E3D61" w:rsidRDefault="007E3D61"/>
    <w:p w:rsidR="007E3D61" w:rsidRDefault="007E3D61"/>
    <w:p w:rsidR="007E3D61" w:rsidRDefault="007E3D61"/>
    <w:p w:rsidR="007E3D61" w:rsidRDefault="007E3D61"/>
    <w:p w:rsidR="007E3D61" w:rsidRPr="00C97B0F" w:rsidRDefault="009E3944" w:rsidP="007656F7">
      <w:pPr>
        <w:spacing w:line="276" w:lineRule="auto"/>
        <w:jc w:val="both"/>
        <w:rPr>
          <w:b/>
          <w:sz w:val="24"/>
        </w:rPr>
      </w:pPr>
      <w:r w:rsidRPr="00C97B0F">
        <w:rPr>
          <w:b/>
          <w:sz w:val="24"/>
        </w:rPr>
        <w:t>Annual Accounts for 2015-16</w:t>
      </w:r>
    </w:p>
    <w:p w:rsidR="009E3944" w:rsidRDefault="009E3944" w:rsidP="007656F7">
      <w:pPr>
        <w:spacing w:line="276" w:lineRule="auto"/>
        <w:jc w:val="both"/>
      </w:pPr>
      <w:r>
        <w:t>The accounts are detailed in the ASDC Accounts 2015-16 from page 15 onwards</w:t>
      </w:r>
    </w:p>
    <w:p w:rsidR="009E3944" w:rsidRDefault="009E3944" w:rsidP="007656F7">
      <w:pPr>
        <w:spacing w:line="276" w:lineRule="auto"/>
        <w:jc w:val="both"/>
      </w:pPr>
    </w:p>
    <w:p w:rsidR="007E3D61" w:rsidRPr="00C97B0F" w:rsidRDefault="008B1877" w:rsidP="007656F7">
      <w:pPr>
        <w:spacing w:line="276" w:lineRule="auto"/>
        <w:jc w:val="both"/>
        <w:rPr>
          <w:b/>
          <w:sz w:val="24"/>
        </w:rPr>
      </w:pPr>
      <w:r w:rsidRPr="00C97B0F">
        <w:rPr>
          <w:b/>
          <w:sz w:val="24"/>
        </w:rPr>
        <w:t>Financial</w:t>
      </w:r>
      <w:r w:rsidR="007E3D61" w:rsidRPr="00C97B0F">
        <w:rPr>
          <w:b/>
          <w:sz w:val="24"/>
        </w:rPr>
        <w:t xml:space="preserve"> results</w:t>
      </w:r>
      <w:r w:rsidRPr="00C97B0F">
        <w:rPr>
          <w:b/>
          <w:sz w:val="24"/>
        </w:rPr>
        <w:t xml:space="preserve"> for the year 2015-16</w:t>
      </w:r>
    </w:p>
    <w:p w:rsidR="007E3D61" w:rsidRDefault="007E3D61" w:rsidP="007656F7">
      <w:pPr>
        <w:spacing w:line="276" w:lineRule="auto"/>
        <w:jc w:val="both"/>
      </w:pPr>
      <w:r>
        <w:t>Total income for the year was £</w:t>
      </w:r>
      <w:r w:rsidR="008B1877">
        <w:t>995,063</w:t>
      </w:r>
      <w:r>
        <w:t>. This is an increase on 201</w:t>
      </w:r>
      <w:r w:rsidR="008B1877">
        <w:t>4</w:t>
      </w:r>
      <w:r>
        <w:t>-1</w:t>
      </w:r>
      <w:r w:rsidR="008B1877">
        <w:t>5</w:t>
      </w:r>
      <w:r>
        <w:t xml:space="preserve"> (£</w:t>
      </w:r>
      <w:r w:rsidR="008B1877">
        <w:t>305,750</w:t>
      </w:r>
      <w:r>
        <w:t xml:space="preserve">). Income from </w:t>
      </w:r>
      <w:r w:rsidR="008B1877">
        <w:t>Projects</w:t>
      </w:r>
      <w:r>
        <w:t xml:space="preserve"> was up to £</w:t>
      </w:r>
      <w:r w:rsidR="008B1877">
        <w:t>947,704</w:t>
      </w:r>
      <w:r>
        <w:t xml:space="preserve"> (from £</w:t>
      </w:r>
      <w:r w:rsidR="008B1877">
        <w:t>228,782</w:t>
      </w:r>
      <w:r>
        <w:t xml:space="preserve"> in </w:t>
      </w:r>
      <w:r w:rsidR="008B1877">
        <w:t>2014-15</w:t>
      </w:r>
      <w:r w:rsidR="00C55BBA">
        <w:t>). There was</w:t>
      </w:r>
      <w:r>
        <w:t xml:space="preserve"> no i</w:t>
      </w:r>
      <w:r w:rsidR="00C55BBA">
        <w:t>ncrease</w:t>
      </w:r>
      <w:r>
        <w:t xml:space="preserve"> in t</w:t>
      </w:r>
      <w:r w:rsidR="004C065F">
        <w:t>he level of the membership fees; some members have chosen not to renew due to financial constraints.</w:t>
      </w:r>
    </w:p>
    <w:p w:rsidR="007E3D61" w:rsidRDefault="007E3D61" w:rsidP="007656F7">
      <w:pPr>
        <w:spacing w:line="276" w:lineRule="auto"/>
        <w:jc w:val="both"/>
      </w:pPr>
    </w:p>
    <w:p w:rsidR="006A5162" w:rsidRDefault="006A5162" w:rsidP="007656F7">
      <w:pPr>
        <w:spacing w:line="276" w:lineRule="auto"/>
        <w:jc w:val="both"/>
      </w:pPr>
      <w:r>
        <w:t>A summary of income during the past three years is shown below.</w:t>
      </w:r>
    </w:p>
    <w:p w:rsidR="004C065F" w:rsidRPr="004C065F" w:rsidRDefault="004C065F" w:rsidP="007656F7">
      <w:pPr>
        <w:spacing w:line="276" w:lineRule="auto"/>
        <w:jc w:val="both"/>
        <w:rPr>
          <w:b/>
          <w:sz w:val="24"/>
        </w:rPr>
      </w:pPr>
      <w:r w:rsidRPr="004C065F">
        <w:rPr>
          <w:b/>
          <w:sz w:val="24"/>
        </w:rPr>
        <w:t>Income</w:t>
      </w:r>
    </w:p>
    <w:tbl>
      <w:tblPr>
        <w:tblW w:w="9180" w:type="dxa"/>
        <w:tblCellMar>
          <w:left w:w="0" w:type="dxa"/>
          <w:right w:w="0" w:type="dxa"/>
        </w:tblCellMar>
        <w:tblLook w:val="04A0"/>
      </w:tblPr>
      <w:tblGrid>
        <w:gridCol w:w="4320"/>
        <w:gridCol w:w="1700"/>
        <w:gridCol w:w="1580"/>
        <w:gridCol w:w="1580"/>
      </w:tblGrid>
      <w:tr w:rsidR="008B1877" w:rsidRPr="008B1877" w:rsidTr="0057101A">
        <w:trPr>
          <w:trHeight w:val="397"/>
        </w:trPr>
        <w:tc>
          <w:tcPr>
            <w:tcW w:w="4320"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hideMark/>
          </w:tcPr>
          <w:p w:rsidR="008B1877" w:rsidRPr="008B1877" w:rsidRDefault="008B1877" w:rsidP="008B1877">
            <w:pPr>
              <w:spacing w:line="276" w:lineRule="auto"/>
              <w:jc w:val="both"/>
            </w:pPr>
          </w:p>
        </w:tc>
        <w:tc>
          <w:tcPr>
            <w:tcW w:w="1700"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vAlign w:val="center"/>
            <w:hideMark/>
          </w:tcPr>
          <w:p w:rsidR="0057101A" w:rsidRPr="008B1877" w:rsidRDefault="008B1877" w:rsidP="008B1877">
            <w:pPr>
              <w:spacing w:line="276" w:lineRule="auto"/>
              <w:jc w:val="both"/>
            </w:pPr>
            <w:r w:rsidRPr="008B1877">
              <w:t xml:space="preserve">2013-14 </w:t>
            </w:r>
          </w:p>
        </w:tc>
        <w:tc>
          <w:tcPr>
            <w:tcW w:w="1580"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vAlign w:val="center"/>
            <w:hideMark/>
          </w:tcPr>
          <w:p w:rsidR="0057101A" w:rsidRPr="008B1877" w:rsidRDefault="008B1877" w:rsidP="008B1877">
            <w:pPr>
              <w:spacing w:line="276" w:lineRule="auto"/>
              <w:jc w:val="both"/>
            </w:pPr>
            <w:r w:rsidRPr="008B1877">
              <w:t xml:space="preserve">2014-15 </w:t>
            </w:r>
          </w:p>
        </w:tc>
        <w:tc>
          <w:tcPr>
            <w:tcW w:w="1580"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vAlign w:val="center"/>
            <w:hideMark/>
          </w:tcPr>
          <w:p w:rsidR="0057101A" w:rsidRPr="008B1877" w:rsidRDefault="008B1877" w:rsidP="008B1877">
            <w:pPr>
              <w:spacing w:line="276" w:lineRule="auto"/>
              <w:jc w:val="both"/>
            </w:pPr>
            <w:r w:rsidRPr="008B1877">
              <w:t xml:space="preserve">2015-16 </w:t>
            </w:r>
          </w:p>
        </w:tc>
      </w:tr>
      <w:tr w:rsidR="008B1877" w:rsidRPr="008B1877" w:rsidTr="008B1877">
        <w:trPr>
          <w:trHeight w:val="284"/>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t xml:space="preserve">Core funding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t xml:space="preserve">-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t xml:space="preserve">-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t xml:space="preserve">- </w:t>
            </w:r>
          </w:p>
        </w:tc>
      </w:tr>
      <w:tr w:rsidR="008B1877" w:rsidRPr="008B1877" w:rsidTr="008B1877">
        <w:trPr>
          <w:trHeight w:val="284"/>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t xml:space="preserve">Project funding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t xml:space="preserve">173,345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t xml:space="preserve">228,782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t xml:space="preserve">947,704 </w:t>
            </w:r>
          </w:p>
        </w:tc>
      </w:tr>
      <w:tr w:rsidR="008B1877" w:rsidRPr="008B1877" w:rsidTr="008B1877">
        <w:trPr>
          <w:trHeight w:val="284"/>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t xml:space="preserve">Subscriptions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t xml:space="preserve">30,475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t xml:space="preserve">29,638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t xml:space="preserve">28,486 </w:t>
            </w:r>
          </w:p>
        </w:tc>
      </w:tr>
      <w:tr w:rsidR="008B1877" w:rsidRPr="008B1877" w:rsidTr="008B1877">
        <w:trPr>
          <w:trHeight w:val="284"/>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t xml:space="preserve">Other income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t xml:space="preserve">33,045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t xml:space="preserve">47,163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t xml:space="preserve">18,475 </w:t>
            </w:r>
          </w:p>
        </w:tc>
      </w:tr>
      <w:tr w:rsidR="008B1877" w:rsidRPr="008B1877" w:rsidTr="008B1877">
        <w:trPr>
          <w:trHeight w:val="284"/>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rPr>
                <w:lang w:val="en-US"/>
              </w:rPr>
              <w:t xml:space="preserve">Interest received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rPr>
                <w:lang w:val="en-US"/>
              </w:rPr>
              <w:t xml:space="preserve">195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rPr>
                <w:lang w:val="en-US"/>
              </w:rPr>
              <w:t xml:space="preserve">167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57101A" w:rsidRPr="008B1877" w:rsidRDefault="008B1877" w:rsidP="008B1877">
            <w:pPr>
              <w:spacing w:line="276" w:lineRule="auto"/>
              <w:jc w:val="both"/>
            </w:pPr>
            <w:r w:rsidRPr="008B1877">
              <w:rPr>
                <w:lang w:val="en-US"/>
              </w:rPr>
              <w:t xml:space="preserve">398 </w:t>
            </w:r>
          </w:p>
        </w:tc>
      </w:tr>
      <w:tr w:rsidR="008B1877" w:rsidRPr="008B1877" w:rsidTr="0057101A">
        <w:trPr>
          <w:trHeight w:val="397"/>
        </w:trPr>
        <w:tc>
          <w:tcPr>
            <w:tcW w:w="4320"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hideMark/>
          </w:tcPr>
          <w:p w:rsidR="0057101A" w:rsidRPr="008B1877" w:rsidRDefault="008B1877" w:rsidP="008B1877">
            <w:pPr>
              <w:spacing w:line="276" w:lineRule="auto"/>
              <w:jc w:val="both"/>
            </w:pPr>
            <w:r w:rsidRPr="008B1877">
              <w:rPr>
                <w:b/>
                <w:bCs/>
                <w:lang w:val="en-US"/>
              </w:rPr>
              <w:t xml:space="preserve">Total Income </w:t>
            </w:r>
          </w:p>
        </w:tc>
        <w:tc>
          <w:tcPr>
            <w:tcW w:w="1700"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hideMark/>
          </w:tcPr>
          <w:p w:rsidR="0057101A" w:rsidRPr="008B1877" w:rsidRDefault="008B1877" w:rsidP="008B1877">
            <w:pPr>
              <w:spacing w:line="276" w:lineRule="auto"/>
              <w:jc w:val="both"/>
            </w:pPr>
            <w:r w:rsidRPr="008B1877">
              <w:rPr>
                <w:b/>
                <w:bCs/>
              </w:rPr>
              <w:t xml:space="preserve">£237,060 </w:t>
            </w:r>
          </w:p>
        </w:tc>
        <w:tc>
          <w:tcPr>
            <w:tcW w:w="1580"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hideMark/>
          </w:tcPr>
          <w:p w:rsidR="0057101A" w:rsidRPr="008B1877" w:rsidRDefault="008B1877" w:rsidP="008B1877">
            <w:pPr>
              <w:spacing w:line="276" w:lineRule="auto"/>
              <w:jc w:val="both"/>
            </w:pPr>
            <w:r w:rsidRPr="008B1877">
              <w:rPr>
                <w:b/>
                <w:bCs/>
              </w:rPr>
              <w:t xml:space="preserve">£305,750 </w:t>
            </w:r>
          </w:p>
        </w:tc>
        <w:tc>
          <w:tcPr>
            <w:tcW w:w="1580"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hideMark/>
          </w:tcPr>
          <w:p w:rsidR="0057101A" w:rsidRPr="008B1877" w:rsidRDefault="008B1877" w:rsidP="008B1877">
            <w:pPr>
              <w:spacing w:line="276" w:lineRule="auto"/>
              <w:jc w:val="both"/>
            </w:pPr>
            <w:r>
              <w:rPr>
                <w:b/>
                <w:bCs/>
              </w:rPr>
              <w:t>£</w:t>
            </w:r>
            <w:r w:rsidRPr="008B1877">
              <w:rPr>
                <w:b/>
                <w:bCs/>
              </w:rPr>
              <w:t xml:space="preserve">995,063 </w:t>
            </w:r>
          </w:p>
        </w:tc>
      </w:tr>
    </w:tbl>
    <w:p w:rsidR="006A5162" w:rsidRDefault="006A5162" w:rsidP="007656F7">
      <w:pPr>
        <w:spacing w:line="276" w:lineRule="auto"/>
        <w:jc w:val="both"/>
      </w:pPr>
    </w:p>
    <w:p w:rsidR="007E3D61" w:rsidRDefault="007E3D61" w:rsidP="007656F7">
      <w:pPr>
        <w:spacing w:line="276" w:lineRule="auto"/>
        <w:jc w:val="both"/>
      </w:pPr>
      <w:r>
        <w:t>Expenditure for the year was £</w:t>
      </w:r>
      <w:r w:rsidR="0057101A">
        <w:t>783,779 (2014-15</w:t>
      </w:r>
      <w:r>
        <w:t>: £</w:t>
      </w:r>
      <w:r w:rsidR="0057101A">
        <w:t>272,704</w:t>
      </w:r>
      <w:r>
        <w:t xml:space="preserve">). The change from the previous year relates to the increased project activity. </w:t>
      </w:r>
      <w:r w:rsidR="00831D61">
        <w:t xml:space="preserve">The increase in </w:t>
      </w:r>
      <w:r w:rsidR="00C478A3">
        <w:t xml:space="preserve">General costs </w:t>
      </w:r>
      <w:r w:rsidR="00831D61">
        <w:t xml:space="preserve">(cost of provision of services) from </w:t>
      </w:r>
      <w:r w:rsidR="00C478A3">
        <w:t>£128,582</w:t>
      </w:r>
      <w:r w:rsidR="00831D61">
        <w:t xml:space="preserve"> to £194,287 </w:t>
      </w:r>
      <w:r w:rsidR="00C97B0F">
        <w:t>is a consequence of</w:t>
      </w:r>
      <w:r w:rsidR="00831D61">
        <w:t xml:space="preserve"> the </w:t>
      </w:r>
      <w:r w:rsidR="00C55BBA">
        <w:t>significant</w:t>
      </w:r>
      <w:r w:rsidR="00831D61">
        <w:t xml:space="preserve"> rise in project activity. </w:t>
      </w:r>
    </w:p>
    <w:p w:rsidR="00831D61" w:rsidRDefault="00831D61" w:rsidP="007656F7">
      <w:pPr>
        <w:spacing w:line="276" w:lineRule="auto"/>
        <w:jc w:val="both"/>
      </w:pPr>
    </w:p>
    <w:p w:rsidR="006A5162" w:rsidRDefault="006A5162" w:rsidP="007656F7">
      <w:pPr>
        <w:spacing w:line="276" w:lineRule="auto"/>
        <w:jc w:val="both"/>
      </w:pPr>
      <w:r>
        <w:t xml:space="preserve">A summary of the expenditure is shown below. </w:t>
      </w:r>
    </w:p>
    <w:p w:rsidR="004C065F" w:rsidRDefault="004C065F" w:rsidP="007656F7">
      <w:pPr>
        <w:spacing w:line="276" w:lineRule="auto"/>
        <w:jc w:val="both"/>
      </w:pPr>
    </w:p>
    <w:p w:rsidR="006A5162" w:rsidRPr="004C065F" w:rsidRDefault="004C065F" w:rsidP="006A5162">
      <w:pPr>
        <w:rPr>
          <w:b/>
          <w:sz w:val="24"/>
        </w:rPr>
      </w:pPr>
      <w:r w:rsidRPr="004C065F">
        <w:rPr>
          <w:b/>
          <w:sz w:val="24"/>
        </w:rPr>
        <w:t>Expenditure</w:t>
      </w:r>
    </w:p>
    <w:tbl>
      <w:tblPr>
        <w:tblW w:w="9300" w:type="dxa"/>
        <w:tblCellMar>
          <w:left w:w="0" w:type="dxa"/>
          <w:right w:w="0" w:type="dxa"/>
        </w:tblCellMar>
        <w:tblLook w:val="04A0"/>
      </w:tblPr>
      <w:tblGrid>
        <w:gridCol w:w="4309"/>
        <w:gridCol w:w="1704"/>
        <w:gridCol w:w="1704"/>
        <w:gridCol w:w="1583"/>
      </w:tblGrid>
      <w:tr w:rsidR="00831D61" w:rsidRPr="00831D61" w:rsidTr="00831D61">
        <w:trPr>
          <w:trHeight w:val="397"/>
        </w:trPr>
        <w:tc>
          <w:tcPr>
            <w:tcW w:w="4309"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hideMark/>
          </w:tcPr>
          <w:p w:rsidR="00831D61" w:rsidRPr="00831D61" w:rsidRDefault="00831D61" w:rsidP="00831D61"/>
        </w:tc>
        <w:tc>
          <w:tcPr>
            <w:tcW w:w="1704"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vAlign w:val="center"/>
            <w:hideMark/>
          </w:tcPr>
          <w:p w:rsidR="00831D61" w:rsidRPr="00831D61" w:rsidRDefault="00831D61" w:rsidP="00831D61">
            <w:r w:rsidRPr="00831D61">
              <w:t xml:space="preserve">2013-14 </w:t>
            </w:r>
          </w:p>
        </w:tc>
        <w:tc>
          <w:tcPr>
            <w:tcW w:w="1704"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vAlign w:val="center"/>
            <w:hideMark/>
          </w:tcPr>
          <w:p w:rsidR="00831D61" w:rsidRPr="00831D61" w:rsidRDefault="00831D61" w:rsidP="00831D61">
            <w:r w:rsidRPr="00831D61">
              <w:t xml:space="preserve">2014-15 </w:t>
            </w:r>
          </w:p>
        </w:tc>
        <w:tc>
          <w:tcPr>
            <w:tcW w:w="1583"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vAlign w:val="center"/>
            <w:hideMark/>
          </w:tcPr>
          <w:p w:rsidR="00831D61" w:rsidRPr="00831D61" w:rsidRDefault="00831D61" w:rsidP="00831D61">
            <w:r w:rsidRPr="00831D61">
              <w:t xml:space="preserve">2015-16 </w:t>
            </w:r>
          </w:p>
        </w:tc>
      </w:tr>
      <w:tr w:rsidR="00831D61" w:rsidRPr="00831D61" w:rsidTr="00831D61">
        <w:trPr>
          <w:trHeight w:val="340"/>
        </w:trPr>
        <w:tc>
          <w:tcPr>
            <w:tcW w:w="4309"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831D61" w:rsidRPr="00831D61" w:rsidRDefault="00831D61" w:rsidP="00831D61">
            <w:r w:rsidRPr="00831D61">
              <w:rPr>
                <w:lang w:val="en-US"/>
              </w:rPr>
              <w:t>External costs of projects</w:t>
            </w:r>
            <w:r w:rsidRPr="00831D61">
              <w:t xml:space="preserve"> </w:t>
            </w:r>
          </w:p>
        </w:tc>
        <w:tc>
          <w:tcPr>
            <w:tcW w:w="1704"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831D61" w:rsidRPr="00831D61" w:rsidRDefault="00831D61" w:rsidP="00831D61">
            <w:r w:rsidRPr="00831D61">
              <w:t xml:space="preserve">113,559 </w:t>
            </w:r>
          </w:p>
        </w:tc>
        <w:tc>
          <w:tcPr>
            <w:tcW w:w="1704"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831D61" w:rsidRPr="00831D61" w:rsidRDefault="00831D61" w:rsidP="00831D61">
            <w:r w:rsidRPr="00831D61">
              <w:t xml:space="preserve">142,922 </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831D61" w:rsidRPr="00831D61" w:rsidRDefault="00831D61" w:rsidP="00831D61">
            <w:r w:rsidRPr="00831D61">
              <w:t xml:space="preserve">588,292 </w:t>
            </w:r>
          </w:p>
        </w:tc>
      </w:tr>
      <w:tr w:rsidR="00831D61" w:rsidRPr="00831D61" w:rsidTr="00831D61">
        <w:trPr>
          <w:trHeight w:val="340"/>
        </w:trPr>
        <w:tc>
          <w:tcPr>
            <w:tcW w:w="4309"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831D61" w:rsidRPr="00831D61" w:rsidRDefault="00831D61" w:rsidP="00831D61">
            <w:r w:rsidRPr="00831D61">
              <w:rPr>
                <w:lang w:val="en-US"/>
              </w:rPr>
              <w:t>Cost of provision of services</w:t>
            </w:r>
            <w:r w:rsidRPr="00831D61">
              <w:t xml:space="preserve"> </w:t>
            </w:r>
          </w:p>
        </w:tc>
        <w:tc>
          <w:tcPr>
            <w:tcW w:w="1704"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831D61" w:rsidRPr="00831D61" w:rsidRDefault="00831D61" w:rsidP="00831D61">
            <w:r w:rsidRPr="00831D61">
              <w:t xml:space="preserve">132,864 </w:t>
            </w:r>
          </w:p>
        </w:tc>
        <w:tc>
          <w:tcPr>
            <w:tcW w:w="1704"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831D61" w:rsidRPr="00831D61" w:rsidRDefault="00831D61" w:rsidP="00831D61">
            <w:r w:rsidRPr="00831D61">
              <w:t xml:space="preserve">128,582 </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831D61" w:rsidRPr="00831D61" w:rsidRDefault="00831D61" w:rsidP="00831D61">
            <w:r w:rsidRPr="00831D61">
              <w:t xml:space="preserve">194,287 </w:t>
            </w:r>
          </w:p>
        </w:tc>
      </w:tr>
      <w:tr w:rsidR="00831D61" w:rsidRPr="00831D61" w:rsidTr="00831D61">
        <w:trPr>
          <w:trHeight w:val="340"/>
        </w:trPr>
        <w:tc>
          <w:tcPr>
            <w:tcW w:w="4309"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831D61" w:rsidRPr="00831D61" w:rsidRDefault="00831D61" w:rsidP="00831D61">
            <w:r w:rsidRPr="00831D61">
              <w:rPr>
                <w:lang w:val="en-US"/>
              </w:rPr>
              <w:t xml:space="preserve">Governance costs </w:t>
            </w:r>
          </w:p>
        </w:tc>
        <w:tc>
          <w:tcPr>
            <w:tcW w:w="1704"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831D61" w:rsidRPr="00831D61" w:rsidRDefault="00831D61" w:rsidP="00831D61">
            <w:r w:rsidRPr="00831D61">
              <w:rPr>
                <w:lang w:val="en-US"/>
              </w:rPr>
              <w:t xml:space="preserve">1,548 </w:t>
            </w:r>
          </w:p>
        </w:tc>
        <w:tc>
          <w:tcPr>
            <w:tcW w:w="1704"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831D61" w:rsidRPr="00831D61" w:rsidRDefault="00831D61" w:rsidP="00831D61">
            <w:r w:rsidRPr="00831D61">
              <w:rPr>
                <w:lang w:val="en-US"/>
              </w:rPr>
              <w:t xml:space="preserve">1,200 </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831D61" w:rsidRPr="00831D61" w:rsidRDefault="00831D61" w:rsidP="00831D61">
            <w:r w:rsidRPr="00831D61">
              <w:rPr>
                <w:lang w:val="en-US"/>
              </w:rPr>
              <w:t xml:space="preserve">1,200 </w:t>
            </w:r>
          </w:p>
        </w:tc>
      </w:tr>
      <w:tr w:rsidR="00831D61" w:rsidRPr="00831D61" w:rsidTr="00831D61">
        <w:trPr>
          <w:trHeight w:val="524"/>
        </w:trPr>
        <w:tc>
          <w:tcPr>
            <w:tcW w:w="4309"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hideMark/>
          </w:tcPr>
          <w:p w:rsidR="00831D61" w:rsidRPr="00831D61" w:rsidRDefault="00831D61" w:rsidP="00831D61">
            <w:r w:rsidRPr="00831D61">
              <w:rPr>
                <w:b/>
                <w:bCs/>
                <w:lang w:val="en-US"/>
              </w:rPr>
              <w:t xml:space="preserve">Total Expenditure </w:t>
            </w:r>
          </w:p>
        </w:tc>
        <w:tc>
          <w:tcPr>
            <w:tcW w:w="1704"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hideMark/>
          </w:tcPr>
          <w:p w:rsidR="00831D61" w:rsidRPr="00831D61" w:rsidRDefault="00831D61" w:rsidP="00831D61">
            <w:r w:rsidRPr="00831D61">
              <w:rPr>
                <w:b/>
                <w:bCs/>
              </w:rPr>
              <w:t xml:space="preserve">£247,971 </w:t>
            </w:r>
          </w:p>
        </w:tc>
        <w:tc>
          <w:tcPr>
            <w:tcW w:w="1704"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hideMark/>
          </w:tcPr>
          <w:p w:rsidR="00831D61" w:rsidRPr="00831D61" w:rsidRDefault="00831D61" w:rsidP="00831D61">
            <w:r w:rsidRPr="00831D61">
              <w:rPr>
                <w:b/>
                <w:bCs/>
              </w:rPr>
              <w:t xml:space="preserve">£272,704 </w:t>
            </w:r>
          </w:p>
        </w:tc>
        <w:tc>
          <w:tcPr>
            <w:tcW w:w="1583"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hideMark/>
          </w:tcPr>
          <w:p w:rsidR="00831D61" w:rsidRPr="00831D61" w:rsidRDefault="00831D61" w:rsidP="00831D61">
            <w:r w:rsidRPr="00831D61">
              <w:rPr>
                <w:b/>
                <w:bCs/>
              </w:rPr>
              <w:t xml:space="preserve">£783,779 </w:t>
            </w:r>
          </w:p>
        </w:tc>
      </w:tr>
    </w:tbl>
    <w:p w:rsidR="006A5162" w:rsidRDefault="006A5162"/>
    <w:p w:rsidR="00C97B0F" w:rsidRDefault="00C97B0F" w:rsidP="007656F7">
      <w:pPr>
        <w:spacing w:line="276" w:lineRule="auto"/>
        <w:jc w:val="both"/>
      </w:pPr>
    </w:p>
    <w:p w:rsidR="00C97B0F" w:rsidRDefault="00C97B0F" w:rsidP="007656F7">
      <w:pPr>
        <w:spacing w:line="276" w:lineRule="auto"/>
        <w:jc w:val="both"/>
      </w:pPr>
    </w:p>
    <w:p w:rsidR="00C97B0F" w:rsidRDefault="00C97B0F" w:rsidP="007656F7">
      <w:pPr>
        <w:spacing w:line="276" w:lineRule="auto"/>
        <w:jc w:val="both"/>
      </w:pPr>
    </w:p>
    <w:p w:rsidR="00C97B0F" w:rsidRDefault="00C97B0F" w:rsidP="007656F7">
      <w:pPr>
        <w:spacing w:line="276" w:lineRule="auto"/>
        <w:jc w:val="both"/>
      </w:pPr>
    </w:p>
    <w:p w:rsidR="00EE2F3C" w:rsidRDefault="007E3D61" w:rsidP="007656F7">
      <w:pPr>
        <w:spacing w:line="276" w:lineRule="auto"/>
        <w:jc w:val="both"/>
      </w:pPr>
      <w:r>
        <w:lastRenderedPageBreak/>
        <w:t xml:space="preserve">The organisation </w:t>
      </w:r>
      <w:r w:rsidR="00EE2F3C">
        <w:t>generated a surplus of £</w:t>
      </w:r>
      <w:r w:rsidR="00831D61">
        <w:t>211,284</w:t>
      </w:r>
      <w:r w:rsidR="00EE2F3C">
        <w:t xml:space="preserve"> during the year against a </w:t>
      </w:r>
      <w:r w:rsidR="00831D61">
        <w:t>surplus of £33,046</w:t>
      </w:r>
      <w:r w:rsidR="00EE2F3C">
        <w:t xml:space="preserve"> in </w:t>
      </w:r>
      <w:r w:rsidR="00831D61">
        <w:t xml:space="preserve">2014-15. </w:t>
      </w:r>
    </w:p>
    <w:p w:rsidR="004C065F" w:rsidRDefault="004C065F" w:rsidP="007656F7">
      <w:pPr>
        <w:spacing w:line="276" w:lineRule="auto"/>
        <w:jc w:val="both"/>
      </w:pPr>
    </w:p>
    <w:p w:rsidR="006A5162" w:rsidRDefault="006A5162" w:rsidP="009E3944">
      <w:pPr>
        <w:spacing w:line="276" w:lineRule="auto"/>
        <w:jc w:val="both"/>
      </w:pPr>
      <w:r>
        <w:t xml:space="preserve">The following table shows the breakdown of reserves for the past </w:t>
      </w:r>
      <w:r w:rsidR="00F44471">
        <w:t>five</w:t>
      </w:r>
      <w:r>
        <w:t xml:space="preserve"> years.</w:t>
      </w:r>
    </w:p>
    <w:p w:rsidR="006A5162" w:rsidRPr="004C065F" w:rsidRDefault="004C065F" w:rsidP="007656F7">
      <w:pPr>
        <w:spacing w:line="276" w:lineRule="auto"/>
        <w:jc w:val="both"/>
        <w:rPr>
          <w:b/>
          <w:sz w:val="24"/>
        </w:rPr>
      </w:pPr>
      <w:r w:rsidRPr="004C065F">
        <w:rPr>
          <w:b/>
          <w:sz w:val="24"/>
        </w:rPr>
        <w:t>Reserves</w:t>
      </w:r>
    </w:p>
    <w:tbl>
      <w:tblPr>
        <w:tblW w:w="9011" w:type="dxa"/>
        <w:tblCellMar>
          <w:left w:w="0" w:type="dxa"/>
          <w:right w:w="0" w:type="dxa"/>
        </w:tblCellMar>
        <w:tblLook w:val="04A0"/>
      </w:tblPr>
      <w:tblGrid>
        <w:gridCol w:w="1821"/>
        <w:gridCol w:w="1438"/>
        <w:gridCol w:w="1438"/>
        <w:gridCol w:w="1438"/>
        <w:gridCol w:w="1438"/>
        <w:gridCol w:w="1438"/>
      </w:tblGrid>
      <w:tr w:rsidR="00F44471" w:rsidRPr="00F44471" w:rsidTr="006609B5">
        <w:trPr>
          <w:trHeight w:val="536"/>
        </w:trPr>
        <w:tc>
          <w:tcPr>
            <w:tcW w:w="397"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hideMark/>
          </w:tcPr>
          <w:p w:rsidR="00F44471" w:rsidRPr="00F44471" w:rsidRDefault="00F44471" w:rsidP="00F44471">
            <w:pPr>
              <w:spacing w:line="276" w:lineRule="auto"/>
              <w:jc w:val="both"/>
              <w:rPr>
                <w:b/>
              </w:rPr>
            </w:pPr>
          </w:p>
        </w:tc>
        <w:tc>
          <w:tcPr>
            <w:tcW w:w="397"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bCs/>
              </w:rPr>
              <w:t>2011-12</w:t>
            </w:r>
            <w:r w:rsidRPr="00F44471">
              <w:rPr>
                <w:b/>
              </w:rPr>
              <w:t xml:space="preserve"> </w:t>
            </w:r>
          </w:p>
        </w:tc>
        <w:tc>
          <w:tcPr>
            <w:tcW w:w="397"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bCs/>
              </w:rPr>
              <w:t>2012-13</w:t>
            </w:r>
            <w:r w:rsidRPr="00F44471">
              <w:rPr>
                <w:b/>
              </w:rPr>
              <w:t xml:space="preserve"> </w:t>
            </w:r>
          </w:p>
        </w:tc>
        <w:tc>
          <w:tcPr>
            <w:tcW w:w="397"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bCs/>
              </w:rPr>
              <w:t>2013-14</w:t>
            </w:r>
            <w:r w:rsidRPr="00F44471">
              <w:rPr>
                <w:b/>
              </w:rPr>
              <w:t xml:space="preserve"> </w:t>
            </w:r>
          </w:p>
        </w:tc>
        <w:tc>
          <w:tcPr>
            <w:tcW w:w="397"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bCs/>
              </w:rPr>
              <w:t>2014-15</w:t>
            </w:r>
            <w:r w:rsidRPr="00F44471">
              <w:rPr>
                <w:b/>
              </w:rPr>
              <w:t xml:space="preserve"> </w:t>
            </w:r>
          </w:p>
        </w:tc>
        <w:tc>
          <w:tcPr>
            <w:tcW w:w="397" w:type="dxa"/>
            <w:tcBorders>
              <w:top w:val="single" w:sz="8" w:space="0" w:color="000000"/>
              <w:left w:val="single" w:sz="8" w:space="0" w:color="000000"/>
              <w:bottom w:val="single" w:sz="8" w:space="0" w:color="000000"/>
              <w:right w:val="single" w:sz="8" w:space="0" w:color="000000"/>
            </w:tcBorders>
            <w:shd w:val="clear" w:color="auto" w:fill="B8CCE4"/>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bCs/>
              </w:rPr>
              <w:t>2015-16</w:t>
            </w:r>
            <w:r w:rsidRPr="00F44471">
              <w:rPr>
                <w:b/>
              </w:rPr>
              <w:t xml:space="preserve"> </w:t>
            </w:r>
          </w:p>
        </w:tc>
      </w:tr>
      <w:tr w:rsidR="00F44471" w:rsidRPr="00F44471" w:rsidTr="006609B5">
        <w:trPr>
          <w:trHeight w:val="400"/>
        </w:trPr>
        <w:tc>
          <w:tcPr>
            <w:tcW w:w="39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lang w:val="en-US"/>
              </w:rPr>
              <w:t>Income</w:t>
            </w:r>
            <w:r w:rsidRPr="00F44471">
              <w:rPr>
                <w:b/>
              </w:rPr>
              <w:t xml:space="preserve"> </w:t>
            </w: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lang w:val="en-US"/>
              </w:rPr>
              <w:t>377,826</w:t>
            </w:r>
            <w:r w:rsidRPr="00F44471">
              <w:rPr>
                <w:b/>
              </w:rPr>
              <w:t xml:space="preserve"> </w:t>
            </w: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lang w:val="en-US"/>
              </w:rPr>
              <w:t>278,123</w:t>
            </w:r>
            <w:r w:rsidRPr="00F44471">
              <w:rPr>
                <w:b/>
              </w:rPr>
              <w:t xml:space="preserve"> </w:t>
            </w: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lang w:val="en-US"/>
              </w:rPr>
              <w:t>237,060</w:t>
            </w:r>
            <w:r w:rsidRPr="00F44471">
              <w:rPr>
                <w:b/>
              </w:rPr>
              <w:t xml:space="preserve"> </w:t>
            </w: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rPr>
              <w:t xml:space="preserve">305,750 </w:t>
            </w: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rPr>
              <w:t xml:space="preserve">995,063 </w:t>
            </w:r>
          </w:p>
        </w:tc>
      </w:tr>
      <w:tr w:rsidR="00F44471" w:rsidRPr="00F44471" w:rsidTr="006609B5">
        <w:trPr>
          <w:trHeight w:val="394"/>
        </w:trPr>
        <w:tc>
          <w:tcPr>
            <w:tcW w:w="39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lang w:val="en-US"/>
              </w:rPr>
              <w:t>Expenditure</w:t>
            </w:r>
            <w:r w:rsidRPr="00F44471">
              <w:rPr>
                <w:b/>
              </w:rPr>
              <w:t xml:space="preserve"> </w:t>
            </w: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lang w:val="en-US"/>
              </w:rPr>
              <w:t>335,672</w:t>
            </w:r>
            <w:r w:rsidRPr="00F44471">
              <w:rPr>
                <w:b/>
              </w:rPr>
              <w:t xml:space="preserve"> </w:t>
            </w: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lang w:val="en-US"/>
              </w:rPr>
              <w:t>321,484</w:t>
            </w:r>
            <w:r w:rsidRPr="00F44471">
              <w:rPr>
                <w:b/>
              </w:rPr>
              <w:t xml:space="preserve"> </w:t>
            </w: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lang w:val="en-US"/>
              </w:rPr>
              <w:t>247,971</w:t>
            </w:r>
            <w:r w:rsidRPr="00F44471">
              <w:rPr>
                <w:b/>
              </w:rPr>
              <w:t xml:space="preserve"> </w:t>
            </w: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rPr>
              <w:t xml:space="preserve">272,704 </w:t>
            </w: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rPr>
              <w:t xml:space="preserve">783,779 </w:t>
            </w:r>
          </w:p>
        </w:tc>
      </w:tr>
      <w:tr w:rsidR="00F44471" w:rsidRPr="00F44471" w:rsidTr="006609B5">
        <w:trPr>
          <w:trHeight w:val="387"/>
        </w:trPr>
        <w:tc>
          <w:tcPr>
            <w:tcW w:w="397" w:type="dxa"/>
            <w:tcBorders>
              <w:top w:val="single" w:sz="8" w:space="0" w:color="000000"/>
              <w:left w:val="single" w:sz="8" w:space="0" w:color="000000"/>
              <w:bottom w:val="single" w:sz="8" w:space="0" w:color="000000"/>
              <w:right w:val="single" w:sz="8" w:space="0" w:color="000000"/>
            </w:tcBorders>
            <w:shd w:val="clear" w:color="auto" w:fill="D6E3BC"/>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lang w:val="en-US"/>
              </w:rPr>
              <w:t>Surplus /deficit</w:t>
            </w:r>
            <w:r w:rsidRPr="00F44471">
              <w:rPr>
                <w:b/>
              </w:rPr>
              <w:t xml:space="preserve"> </w:t>
            </w:r>
          </w:p>
        </w:tc>
        <w:tc>
          <w:tcPr>
            <w:tcW w:w="397" w:type="dxa"/>
            <w:tcBorders>
              <w:top w:val="single" w:sz="8" w:space="0" w:color="000000"/>
              <w:left w:val="single" w:sz="8" w:space="0" w:color="000000"/>
              <w:bottom w:val="single" w:sz="8" w:space="0" w:color="000000"/>
              <w:right w:val="single" w:sz="8" w:space="0" w:color="000000"/>
            </w:tcBorders>
            <w:shd w:val="clear" w:color="auto" w:fill="D6E3BC"/>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lang w:val="en-US"/>
              </w:rPr>
              <w:t>42,154</w:t>
            </w:r>
            <w:r w:rsidRPr="00F44471">
              <w:rPr>
                <w:b/>
              </w:rPr>
              <w:t xml:space="preserve"> </w:t>
            </w:r>
          </w:p>
        </w:tc>
        <w:tc>
          <w:tcPr>
            <w:tcW w:w="397" w:type="dxa"/>
            <w:tcBorders>
              <w:top w:val="single" w:sz="8" w:space="0" w:color="000000"/>
              <w:left w:val="single" w:sz="8" w:space="0" w:color="000000"/>
              <w:bottom w:val="single" w:sz="8" w:space="0" w:color="000000"/>
              <w:right w:val="single" w:sz="8" w:space="0" w:color="000000"/>
            </w:tcBorders>
            <w:shd w:val="clear" w:color="auto" w:fill="D6E3BC"/>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lang w:val="en-US"/>
              </w:rPr>
              <w:t>£43,361)</w:t>
            </w:r>
            <w:r w:rsidRPr="00F44471">
              <w:rPr>
                <w:b/>
              </w:rPr>
              <w:t xml:space="preserve"> </w:t>
            </w:r>
          </w:p>
        </w:tc>
        <w:tc>
          <w:tcPr>
            <w:tcW w:w="397" w:type="dxa"/>
            <w:tcBorders>
              <w:top w:val="single" w:sz="8" w:space="0" w:color="000000"/>
              <w:left w:val="single" w:sz="8" w:space="0" w:color="000000"/>
              <w:bottom w:val="single" w:sz="8" w:space="0" w:color="000000"/>
              <w:right w:val="single" w:sz="8" w:space="0" w:color="000000"/>
            </w:tcBorders>
            <w:shd w:val="clear" w:color="auto" w:fill="D6E3BC"/>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lang w:val="en-US"/>
              </w:rPr>
              <w:t>(10,911)</w:t>
            </w:r>
            <w:r w:rsidRPr="00F44471">
              <w:rPr>
                <w:b/>
              </w:rPr>
              <w:t xml:space="preserve"> </w:t>
            </w:r>
          </w:p>
        </w:tc>
        <w:tc>
          <w:tcPr>
            <w:tcW w:w="397" w:type="dxa"/>
            <w:tcBorders>
              <w:top w:val="single" w:sz="8" w:space="0" w:color="000000"/>
              <w:left w:val="single" w:sz="8" w:space="0" w:color="000000"/>
              <w:bottom w:val="single" w:sz="8" w:space="0" w:color="000000"/>
              <w:right w:val="single" w:sz="8" w:space="0" w:color="000000"/>
            </w:tcBorders>
            <w:shd w:val="clear" w:color="auto" w:fill="D6E3BC"/>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rPr>
              <w:t xml:space="preserve">33,046 </w:t>
            </w:r>
          </w:p>
        </w:tc>
        <w:tc>
          <w:tcPr>
            <w:tcW w:w="397" w:type="dxa"/>
            <w:tcBorders>
              <w:top w:val="single" w:sz="8" w:space="0" w:color="000000"/>
              <w:left w:val="single" w:sz="8" w:space="0" w:color="000000"/>
              <w:bottom w:val="single" w:sz="8" w:space="0" w:color="000000"/>
              <w:right w:val="single" w:sz="8" w:space="0" w:color="000000"/>
            </w:tcBorders>
            <w:shd w:val="clear" w:color="auto" w:fill="D6E3BC"/>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rPr>
              <w:t xml:space="preserve">211,284 </w:t>
            </w:r>
          </w:p>
        </w:tc>
      </w:tr>
      <w:tr w:rsidR="00F44471" w:rsidRPr="00F44471" w:rsidTr="006609B5">
        <w:trPr>
          <w:trHeight w:val="526"/>
        </w:trPr>
        <w:tc>
          <w:tcPr>
            <w:tcW w:w="397"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bCs/>
                <w:lang w:val="en-US"/>
              </w:rPr>
              <w:t>ASDC reserves</w:t>
            </w:r>
          </w:p>
        </w:tc>
        <w:tc>
          <w:tcPr>
            <w:tcW w:w="397"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bCs/>
                <w:lang w:val="en-US"/>
              </w:rPr>
              <w:t xml:space="preserve">£182,580 </w:t>
            </w:r>
          </w:p>
        </w:tc>
        <w:tc>
          <w:tcPr>
            <w:tcW w:w="397"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bCs/>
                <w:lang w:val="en-US"/>
              </w:rPr>
              <w:t>£139,219</w:t>
            </w:r>
            <w:r w:rsidRPr="00F44471">
              <w:rPr>
                <w:b/>
                <w:bCs/>
              </w:rPr>
              <w:t xml:space="preserve"> </w:t>
            </w:r>
          </w:p>
        </w:tc>
        <w:tc>
          <w:tcPr>
            <w:tcW w:w="397"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bCs/>
                <w:lang w:val="en-US"/>
              </w:rPr>
              <w:t>£128,308</w:t>
            </w:r>
            <w:r w:rsidRPr="00F44471">
              <w:rPr>
                <w:b/>
                <w:bCs/>
              </w:rPr>
              <w:t xml:space="preserve"> </w:t>
            </w:r>
          </w:p>
        </w:tc>
        <w:tc>
          <w:tcPr>
            <w:tcW w:w="397"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bCs/>
              </w:rPr>
              <w:t xml:space="preserve">£161,354 </w:t>
            </w:r>
          </w:p>
        </w:tc>
        <w:tc>
          <w:tcPr>
            <w:tcW w:w="397" w:type="dxa"/>
            <w:tcBorders>
              <w:top w:val="single" w:sz="8" w:space="0" w:color="000000"/>
              <w:left w:val="single" w:sz="8" w:space="0" w:color="000000"/>
              <w:bottom w:val="single" w:sz="8" w:space="0" w:color="000000"/>
              <w:right w:val="single" w:sz="8" w:space="0" w:color="000000"/>
            </w:tcBorders>
            <w:shd w:val="clear" w:color="auto" w:fill="CCC0D9"/>
            <w:tcMar>
              <w:top w:w="10" w:type="dxa"/>
              <w:left w:w="92" w:type="dxa"/>
              <w:bottom w:w="0" w:type="dxa"/>
              <w:right w:w="92" w:type="dxa"/>
            </w:tcMar>
            <w:vAlign w:val="center"/>
            <w:hideMark/>
          </w:tcPr>
          <w:p w:rsidR="00F44471" w:rsidRPr="00F44471" w:rsidRDefault="00F44471" w:rsidP="00F44471">
            <w:pPr>
              <w:spacing w:line="276" w:lineRule="auto"/>
              <w:jc w:val="both"/>
              <w:rPr>
                <w:b/>
              </w:rPr>
            </w:pPr>
            <w:r w:rsidRPr="00F44471">
              <w:rPr>
                <w:b/>
                <w:bCs/>
              </w:rPr>
              <w:t xml:space="preserve">£372,638 </w:t>
            </w:r>
          </w:p>
        </w:tc>
      </w:tr>
    </w:tbl>
    <w:p w:rsidR="00F44471" w:rsidRDefault="00F44471" w:rsidP="007656F7">
      <w:pPr>
        <w:spacing w:line="276" w:lineRule="auto"/>
        <w:jc w:val="both"/>
        <w:rPr>
          <w:b/>
        </w:rPr>
      </w:pPr>
    </w:p>
    <w:p w:rsidR="007656F7" w:rsidRPr="00C97B0F" w:rsidRDefault="007656F7" w:rsidP="007656F7">
      <w:pPr>
        <w:spacing w:line="276" w:lineRule="auto"/>
        <w:jc w:val="both"/>
        <w:rPr>
          <w:b/>
          <w:sz w:val="24"/>
        </w:rPr>
      </w:pPr>
      <w:r w:rsidRPr="00C97B0F">
        <w:rPr>
          <w:b/>
          <w:sz w:val="24"/>
        </w:rPr>
        <w:t>Financial overview</w:t>
      </w:r>
    </w:p>
    <w:p w:rsidR="007656F7" w:rsidRDefault="007656F7" w:rsidP="007656F7">
      <w:pPr>
        <w:spacing w:line="276" w:lineRule="auto"/>
        <w:jc w:val="both"/>
      </w:pPr>
      <w:r>
        <w:t xml:space="preserve">Whilst the organisation has still been unable to secure core funding, income from projects has </w:t>
      </w:r>
      <w:r w:rsidR="006609B5">
        <w:t>substan</w:t>
      </w:r>
      <w:r w:rsidR="004C065F">
        <w:t xml:space="preserve">tially increased this year. </w:t>
      </w:r>
      <w:r w:rsidR="009E3944">
        <w:t xml:space="preserve">It is a welcome change that </w:t>
      </w:r>
      <w:r w:rsidR="004C065F">
        <w:t xml:space="preserve">funders are </w:t>
      </w:r>
      <w:r w:rsidR="009E3944">
        <w:t xml:space="preserve">increasingly </w:t>
      </w:r>
      <w:r w:rsidR="004C065F">
        <w:t>coming to ASDC to co</w:t>
      </w:r>
      <w:r w:rsidR="00A913CD">
        <w:t>-</w:t>
      </w:r>
      <w:r w:rsidR="004C065F">
        <w:t>ordinate national projects. The</w:t>
      </w:r>
      <w:r w:rsidR="006609B5">
        <w:t xml:space="preserve"> disadvantage of </w:t>
      </w:r>
      <w:r w:rsidR="004C065F">
        <w:t xml:space="preserve">project funding as a means of supporting the organisation </w:t>
      </w:r>
      <w:r w:rsidR="006609B5">
        <w:t xml:space="preserve">is the </w:t>
      </w:r>
      <w:r w:rsidR="004C065F">
        <w:t xml:space="preserve">time needed to </w:t>
      </w:r>
      <w:r w:rsidR="006609B5">
        <w:t>search for projects</w:t>
      </w:r>
      <w:r w:rsidR="004C065F">
        <w:t xml:space="preserve"> and funders</w:t>
      </w:r>
      <w:r w:rsidR="006609B5">
        <w:t>, the writing of fu</w:t>
      </w:r>
      <w:r w:rsidR="006D58F1">
        <w:t>nding applications and delivery;</w:t>
      </w:r>
      <w:r w:rsidR="006609B5">
        <w:t xml:space="preserve"> </w:t>
      </w:r>
      <w:r w:rsidR="006D58F1">
        <w:t>it benefits the sector, but</w:t>
      </w:r>
      <w:r w:rsidR="00A913CD">
        <w:t xml:space="preserve"> only delivers small amounts of</w:t>
      </w:r>
      <w:r w:rsidR="006609B5">
        <w:t xml:space="preserve"> income to ASDC</w:t>
      </w:r>
      <w:r w:rsidR="004C065F">
        <w:t>. There is always an on</w:t>
      </w:r>
      <w:r w:rsidR="00A913CD">
        <w:t>-</w:t>
      </w:r>
      <w:r w:rsidR="004C065F">
        <w:t xml:space="preserve">going need to pursue other activities, for the benefit of the </w:t>
      </w:r>
      <w:r w:rsidR="00A913CD">
        <w:t>members, that may not be income-</w:t>
      </w:r>
      <w:r w:rsidR="004C065F">
        <w:t>generating for ASDC; the Inspiring Science Fund is a good example where a large of amount of lobbying was carr</w:t>
      </w:r>
      <w:r w:rsidR="009E3944">
        <w:t>ied out on behalf of the sector over several years.</w:t>
      </w:r>
    </w:p>
    <w:p w:rsidR="00A913CD" w:rsidRDefault="00A913CD" w:rsidP="007656F7">
      <w:pPr>
        <w:spacing w:line="276" w:lineRule="auto"/>
        <w:jc w:val="both"/>
      </w:pPr>
    </w:p>
    <w:p w:rsidR="009E3944" w:rsidRDefault="009E3944" w:rsidP="007656F7">
      <w:pPr>
        <w:spacing w:line="276" w:lineRule="auto"/>
        <w:jc w:val="both"/>
      </w:pPr>
      <w:r>
        <w:t>The Board regularly monitor</w:t>
      </w:r>
      <w:r w:rsidR="00C97B0F">
        <w:t>s</w:t>
      </w:r>
      <w:r>
        <w:t xml:space="preserve"> the level of uncommitted reserves to ensure that the organisation can continue to operate </w:t>
      </w:r>
      <w:r w:rsidR="00C97B0F">
        <w:t xml:space="preserve">effectively </w:t>
      </w:r>
      <w:r>
        <w:t>for the foreseeable future.</w:t>
      </w:r>
    </w:p>
    <w:p w:rsidR="007656F7" w:rsidRDefault="007656F7" w:rsidP="007656F7">
      <w:pPr>
        <w:spacing w:line="276" w:lineRule="auto"/>
        <w:jc w:val="both"/>
      </w:pPr>
    </w:p>
    <w:p w:rsidR="007656F7" w:rsidRPr="00C97B0F" w:rsidRDefault="007656F7" w:rsidP="007656F7">
      <w:pPr>
        <w:spacing w:line="276" w:lineRule="auto"/>
        <w:jc w:val="both"/>
        <w:rPr>
          <w:b/>
          <w:sz w:val="24"/>
        </w:rPr>
      </w:pPr>
      <w:r w:rsidRPr="00C97B0F">
        <w:rPr>
          <w:b/>
          <w:sz w:val="24"/>
        </w:rPr>
        <w:t>Thanks</w:t>
      </w:r>
    </w:p>
    <w:p w:rsidR="007656F7" w:rsidRDefault="007656F7" w:rsidP="007656F7">
      <w:pPr>
        <w:spacing w:line="276" w:lineRule="auto"/>
        <w:jc w:val="both"/>
      </w:pPr>
      <w:r>
        <w:t>Thanks are due to Corrigan Associates for carrying out the independent examination of the accounts and to Penny and her team for their continuing provision of services to members within tight financial constraints.</w:t>
      </w:r>
    </w:p>
    <w:p w:rsidR="007656F7" w:rsidRDefault="007656F7" w:rsidP="007656F7">
      <w:pPr>
        <w:spacing w:line="276" w:lineRule="auto"/>
        <w:jc w:val="both"/>
      </w:pPr>
    </w:p>
    <w:p w:rsidR="007656F7" w:rsidRPr="00C97B0F" w:rsidRDefault="007656F7" w:rsidP="007656F7">
      <w:pPr>
        <w:spacing w:line="276" w:lineRule="auto"/>
        <w:jc w:val="both"/>
        <w:rPr>
          <w:b/>
          <w:sz w:val="24"/>
        </w:rPr>
      </w:pPr>
      <w:r w:rsidRPr="00C97B0F">
        <w:rPr>
          <w:b/>
          <w:sz w:val="24"/>
        </w:rPr>
        <w:t>Examination of accounts</w:t>
      </w:r>
    </w:p>
    <w:p w:rsidR="007656F7" w:rsidRDefault="007656F7" w:rsidP="007656F7">
      <w:pPr>
        <w:spacing w:line="276" w:lineRule="auto"/>
        <w:jc w:val="both"/>
      </w:pPr>
      <w:r>
        <w:t>The annual income of ASDC falls within the levels at which full audit is not required. Provision is made in law for small and medium charities to use an intermediate method of scrutiny known as an independent examination.</w:t>
      </w:r>
    </w:p>
    <w:p w:rsidR="007656F7" w:rsidRDefault="007656F7" w:rsidP="007656F7">
      <w:pPr>
        <w:spacing w:line="276" w:lineRule="auto"/>
        <w:jc w:val="both"/>
      </w:pPr>
    </w:p>
    <w:p w:rsidR="007656F7" w:rsidRPr="00C97B0F" w:rsidRDefault="007656F7" w:rsidP="007656F7">
      <w:pPr>
        <w:spacing w:line="276" w:lineRule="auto"/>
        <w:jc w:val="both"/>
        <w:rPr>
          <w:b/>
          <w:sz w:val="24"/>
        </w:rPr>
      </w:pPr>
      <w:r w:rsidRPr="00C97B0F">
        <w:rPr>
          <w:b/>
          <w:sz w:val="24"/>
        </w:rPr>
        <w:t>Conclusion</w:t>
      </w:r>
    </w:p>
    <w:p w:rsidR="007656F7" w:rsidRDefault="00C55BBA" w:rsidP="007656F7">
      <w:pPr>
        <w:spacing w:line="276" w:lineRule="auto"/>
        <w:jc w:val="both"/>
      </w:pPr>
      <w:r>
        <w:t>We</w:t>
      </w:r>
      <w:r w:rsidR="007656F7">
        <w:t xml:space="preserve"> recommend that the accounts are accepted and submitted to Companies House and the Charity Commission.</w:t>
      </w:r>
    </w:p>
    <w:p w:rsidR="007656F7" w:rsidRDefault="007656F7" w:rsidP="007656F7">
      <w:pPr>
        <w:spacing w:line="276" w:lineRule="auto"/>
        <w:jc w:val="both"/>
      </w:pPr>
    </w:p>
    <w:p w:rsidR="00C97B0F" w:rsidRDefault="00C97B0F" w:rsidP="007656F7">
      <w:pPr>
        <w:spacing w:line="276" w:lineRule="auto"/>
        <w:jc w:val="both"/>
      </w:pPr>
    </w:p>
    <w:p w:rsidR="009E3944" w:rsidRDefault="009E3944" w:rsidP="007656F7">
      <w:pPr>
        <w:spacing w:line="276" w:lineRule="auto"/>
        <w:jc w:val="both"/>
      </w:pPr>
    </w:p>
    <w:p w:rsidR="007656F7" w:rsidRDefault="007656F7" w:rsidP="007656F7">
      <w:pPr>
        <w:spacing w:line="276" w:lineRule="auto"/>
        <w:jc w:val="both"/>
      </w:pPr>
      <w:r>
        <w:t>Chris Godden FCA, ASDC Finance Director</w:t>
      </w:r>
    </w:p>
    <w:p w:rsidR="00C55BBA" w:rsidRDefault="00C55BBA" w:rsidP="007656F7">
      <w:pPr>
        <w:spacing w:line="276" w:lineRule="auto"/>
        <w:jc w:val="both"/>
      </w:pPr>
      <w:r>
        <w:t>Phil Winfield, Treasurer</w:t>
      </w:r>
    </w:p>
    <w:p w:rsidR="007656F7" w:rsidRDefault="007656F7" w:rsidP="007656F7">
      <w:pPr>
        <w:spacing w:line="276" w:lineRule="auto"/>
        <w:jc w:val="both"/>
      </w:pPr>
      <w:r>
        <w:t>Se</w:t>
      </w:r>
      <w:r w:rsidR="004C065F">
        <w:t>ptember 2016</w:t>
      </w:r>
    </w:p>
    <w:sectPr w:rsidR="007656F7" w:rsidSect="00761D3A">
      <w:pgSz w:w="11907" w:h="16840" w:code="9"/>
      <w:pgMar w:top="1134" w:right="1418" w:bottom="1134" w:left="1418"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rawingGridVerticalSpacing w:val="299"/>
  <w:displayHorizontalDrawingGridEvery w:val="2"/>
  <w:characterSpacingControl w:val="doNotCompress"/>
  <w:compat/>
  <w:rsids>
    <w:rsidRoot w:val="007E3D61"/>
    <w:rsid w:val="00001CE8"/>
    <w:rsid w:val="00023A51"/>
    <w:rsid w:val="00023A61"/>
    <w:rsid w:val="00036A13"/>
    <w:rsid w:val="00052D0B"/>
    <w:rsid w:val="00056FC2"/>
    <w:rsid w:val="000576D0"/>
    <w:rsid w:val="000615C2"/>
    <w:rsid w:val="00072BB3"/>
    <w:rsid w:val="000759BB"/>
    <w:rsid w:val="0007614E"/>
    <w:rsid w:val="0008041C"/>
    <w:rsid w:val="0009471E"/>
    <w:rsid w:val="00096B45"/>
    <w:rsid w:val="000B089B"/>
    <w:rsid w:val="000B47D5"/>
    <w:rsid w:val="000B6A61"/>
    <w:rsid w:val="000C3894"/>
    <w:rsid w:val="000C7DE2"/>
    <w:rsid w:val="000D15AF"/>
    <w:rsid w:val="000D5956"/>
    <w:rsid w:val="000E041A"/>
    <w:rsid w:val="000E4AC2"/>
    <w:rsid w:val="000E772A"/>
    <w:rsid w:val="000E7931"/>
    <w:rsid w:val="000F1739"/>
    <w:rsid w:val="000F2CBD"/>
    <w:rsid w:val="000F5ABB"/>
    <w:rsid w:val="001021CD"/>
    <w:rsid w:val="001035EE"/>
    <w:rsid w:val="00103F55"/>
    <w:rsid w:val="001057C7"/>
    <w:rsid w:val="00110D2F"/>
    <w:rsid w:val="00113755"/>
    <w:rsid w:val="00114B10"/>
    <w:rsid w:val="00130240"/>
    <w:rsid w:val="0013032E"/>
    <w:rsid w:val="00137477"/>
    <w:rsid w:val="00143D22"/>
    <w:rsid w:val="00144AD2"/>
    <w:rsid w:val="001533ED"/>
    <w:rsid w:val="001607BE"/>
    <w:rsid w:val="001627BA"/>
    <w:rsid w:val="00171B43"/>
    <w:rsid w:val="0017651E"/>
    <w:rsid w:val="001802EB"/>
    <w:rsid w:val="00190A98"/>
    <w:rsid w:val="0019272B"/>
    <w:rsid w:val="001959CB"/>
    <w:rsid w:val="00196B23"/>
    <w:rsid w:val="00197AD8"/>
    <w:rsid w:val="001A3D79"/>
    <w:rsid w:val="001A5530"/>
    <w:rsid w:val="001B1B21"/>
    <w:rsid w:val="001B27B7"/>
    <w:rsid w:val="001B3FBD"/>
    <w:rsid w:val="001C2C70"/>
    <w:rsid w:val="001C5D9B"/>
    <w:rsid w:val="001F237E"/>
    <w:rsid w:val="00210F3C"/>
    <w:rsid w:val="00211F76"/>
    <w:rsid w:val="00214854"/>
    <w:rsid w:val="002205F7"/>
    <w:rsid w:val="00224197"/>
    <w:rsid w:val="00227AE0"/>
    <w:rsid w:val="00256B96"/>
    <w:rsid w:val="0026477E"/>
    <w:rsid w:val="002658F6"/>
    <w:rsid w:val="0027565F"/>
    <w:rsid w:val="002777F8"/>
    <w:rsid w:val="0028058F"/>
    <w:rsid w:val="00280B3A"/>
    <w:rsid w:val="00290F98"/>
    <w:rsid w:val="002950C0"/>
    <w:rsid w:val="00297829"/>
    <w:rsid w:val="002A7F30"/>
    <w:rsid w:val="002B1E54"/>
    <w:rsid w:val="002C6117"/>
    <w:rsid w:val="002C7ED9"/>
    <w:rsid w:val="002D2AC0"/>
    <w:rsid w:val="002E0BF1"/>
    <w:rsid w:val="002F0182"/>
    <w:rsid w:val="002F60FE"/>
    <w:rsid w:val="00301023"/>
    <w:rsid w:val="00302071"/>
    <w:rsid w:val="0032288E"/>
    <w:rsid w:val="0033251C"/>
    <w:rsid w:val="00335CF2"/>
    <w:rsid w:val="0033646B"/>
    <w:rsid w:val="00337502"/>
    <w:rsid w:val="003429DD"/>
    <w:rsid w:val="00345488"/>
    <w:rsid w:val="0034680B"/>
    <w:rsid w:val="00351AB1"/>
    <w:rsid w:val="0035460E"/>
    <w:rsid w:val="00360BAF"/>
    <w:rsid w:val="00372985"/>
    <w:rsid w:val="003732C0"/>
    <w:rsid w:val="00374390"/>
    <w:rsid w:val="00376A6E"/>
    <w:rsid w:val="00382E7D"/>
    <w:rsid w:val="00394EBB"/>
    <w:rsid w:val="003A52CC"/>
    <w:rsid w:val="003B4D89"/>
    <w:rsid w:val="003B7C79"/>
    <w:rsid w:val="003C7373"/>
    <w:rsid w:val="003D257C"/>
    <w:rsid w:val="003D3380"/>
    <w:rsid w:val="003E191A"/>
    <w:rsid w:val="003E3A8F"/>
    <w:rsid w:val="003F0D02"/>
    <w:rsid w:val="004061D9"/>
    <w:rsid w:val="00415EF8"/>
    <w:rsid w:val="0042168F"/>
    <w:rsid w:val="00422221"/>
    <w:rsid w:val="004222F3"/>
    <w:rsid w:val="004369D0"/>
    <w:rsid w:val="00442099"/>
    <w:rsid w:val="004443BC"/>
    <w:rsid w:val="004521AE"/>
    <w:rsid w:val="0046577B"/>
    <w:rsid w:val="00472076"/>
    <w:rsid w:val="004729BD"/>
    <w:rsid w:val="004770D8"/>
    <w:rsid w:val="0048031E"/>
    <w:rsid w:val="00480777"/>
    <w:rsid w:val="00482F68"/>
    <w:rsid w:val="00491F1B"/>
    <w:rsid w:val="00492731"/>
    <w:rsid w:val="004A0521"/>
    <w:rsid w:val="004A0D60"/>
    <w:rsid w:val="004A31B8"/>
    <w:rsid w:val="004A5D93"/>
    <w:rsid w:val="004A6D4C"/>
    <w:rsid w:val="004B2E2A"/>
    <w:rsid w:val="004C065F"/>
    <w:rsid w:val="004F2113"/>
    <w:rsid w:val="00500920"/>
    <w:rsid w:val="00505281"/>
    <w:rsid w:val="00511775"/>
    <w:rsid w:val="00511883"/>
    <w:rsid w:val="00511DBA"/>
    <w:rsid w:val="00517985"/>
    <w:rsid w:val="00522E8D"/>
    <w:rsid w:val="00530E33"/>
    <w:rsid w:val="00541253"/>
    <w:rsid w:val="005414C3"/>
    <w:rsid w:val="005434F9"/>
    <w:rsid w:val="00543F22"/>
    <w:rsid w:val="005453BF"/>
    <w:rsid w:val="0055047E"/>
    <w:rsid w:val="00561184"/>
    <w:rsid w:val="00562817"/>
    <w:rsid w:val="00563E08"/>
    <w:rsid w:val="00564F07"/>
    <w:rsid w:val="0057101A"/>
    <w:rsid w:val="00572862"/>
    <w:rsid w:val="00590485"/>
    <w:rsid w:val="005A1015"/>
    <w:rsid w:val="005A1621"/>
    <w:rsid w:val="005C7939"/>
    <w:rsid w:val="005D0425"/>
    <w:rsid w:val="005D12DB"/>
    <w:rsid w:val="005E05E7"/>
    <w:rsid w:val="005E42A9"/>
    <w:rsid w:val="006003BD"/>
    <w:rsid w:val="00603C0D"/>
    <w:rsid w:val="00622848"/>
    <w:rsid w:val="00622DD0"/>
    <w:rsid w:val="00633D93"/>
    <w:rsid w:val="006457AE"/>
    <w:rsid w:val="00653ED6"/>
    <w:rsid w:val="006609B5"/>
    <w:rsid w:val="00665BE7"/>
    <w:rsid w:val="006664D0"/>
    <w:rsid w:val="00675CA1"/>
    <w:rsid w:val="0068511F"/>
    <w:rsid w:val="00686CE9"/>
    <w:rsid w:val="0069327B"/>
    <w:rsid w:val="006939EC"/>
    <w:rsid w:val="00693DFE"/>
    <w:rsid w:val="00695880"/>
    <w:rsid w:val="00696A98"/>
    <w:rsid w:val="006A18DE"/>
    <w:rsid w:val="006A5162"/>
    <w:rsid w:val="006B31ED"/>
    <w:rsid w:val="006C23E3"/>
    <w:rsid w:val="006C3EEA"/>
    <w:rsid w:val="006C4C96"/>
    <w:rsid w:val="006C4DEC"/>
    <w:rsid w:val="006D1D65"/>
    <w:rsid w:val="006D2C28"/>
    <w:rsid w:val="006D58F1"/>
    <w:rsid w:val="006F7253"/>
    <w:rsid w:val="00705BAF"/>
    <w:rsid w:val="00712451"/>
    <w:rsid w:val="0071629C"/>
    <w:rsid w:val="00717D53"/>
    <w:rsid w:val="00735424"/>
    <w:rsid w:val="0074383D"/>
    <w:rsid w:val="0076003B"/>
    <w:rsid w:val="00761D3A"/>
    <w:rsid w:val="007656F7"/>
    <w:rsid w:val="00771515"/>
    <w:rsid w:val="0077430D"/>
    <w:rsid w:val="00792840"/>
    <w:rsid w:val="00792A12"/>
    <w:rsid w:val="007A33F8"/>
    <w:rsid w:val="007B090D"/>
    <w:rsid w:val="007C364B"/>
    <w:rsid w:val="007C4F8A"/>
    <w:rsid w:val="007D40A4"/>
    <w:rsid w:val="007D70F7"/>
    <w:rsid w:val="007E3D61"/>
    <w:rsid w:val="00802711"/>
    <w:rsid w:val="0081064A"/>
    <w:rsid w:val="008233FD"/>
    <w:rsid w:val="00825024"/>
    <w:rsid w:val="00831D61"/>
    <w:rsid w:val="008350BA"/>
    <w:rsid w:val="008406C2"/>
    <w:rsid w:val="008506FA"/>
    <w:rsid w:val="008551C2"/>
    <w:rsid w:val="00856A4E"/>
    <w:rsid w:val="00880696"/>
    <w:rsid w:val="00891040"/>
    <w:rsid w:val="00891379"/>
    <w:rsid w:val="0089497B"/>
    <w:rsid w:val="008A233B"/>
    <w:rsid w:val="008A3EBA"/>
    <w:rsid w:val="008A5E63"/>
    <w:rsid w:val="008B1877"/>
    <w:rsid w:val="008B42E0"/>
    <w:rsid w:val="008C1FA2"/>
    <w:rsid w:val="008C7F4E"/>
    <w:rsid w:val="008D1803"/>
    <w:rsid w:val="008D1C11"/>
    <w:rsid w:val="008D75B8"/>
    <w:rsid w:val="008E1097"/>
    <w:rsid w:val="008E4EB5"/>
    <w:rsid w:val="008E63B8"/>
    <w:rsid w:val="008F1773"/>
    <w:rsid w:val="008F303E"/>
    <w:rsid w:val="008F346C"/>
    <w:rsid w:val="008F4245"/>
    <w:rsid w:val="008F44D2"/>
    <w:rsid w:val="00920AE0"/>
    <w:rsid w:val="00921945"/>
    <w:rsid w:val="009220F5"/>
    <w:rsid w:val="00922A90"/>
    <w:rsid w:val="00932158"/>
    <w:rsid w:val="00940894"/>
    <w:rsid w:val="0094561F"/>
    <w:rsid w:val="009548A1"/>
    <w:rsid w:val="00966F79"/>
    <w:rsid w:val="00980581"/>
    <w:rsid w:val="00980FB7"/>
    <w:rsid w:val="00981BE9"/>
    <w:rsid w:val="009827A6"/>
    <w:rsid w:val="00983076"/>
    <w:rsid w:val="00987413"/>
    <w:rsid w:val="009905E5"/>
    <w:rsid w:val="009A3C2D"/>
    <w:rsid w:val="009B1A5D"/>
    <w:rsid w:val="009B68C8"/>
    <w:rsid w:val="009D2EA1"/>
    <w:rsid w:val="009E3944"/>
    <w:rsid w:val="009E6B4B"/>
    <w:rsid w:val="009F25E3"/>
    <w:rsid w:val="00A04D7C"/>
    <w:rsid w:val="00A10F03"/>
    <w:rsid w:val="00A146C9"/>
    <w:rsid w:val="00A14F99"/>
    <w:rsid w:val="00A16F14"/>
    <w:rsid w:val="00A260E9"/>
    <w:rsid w:val="00A37893"/>
    <w:rsid w:val="00A52880"/>
    <w:rsid w:val="00A55603"/>
    <w:rsid w:val="00A55721"/>
    <w:rsid w:val="00A57030"/>
    <w:rsid w:val="00A57E80"/>
    <w:rsid w:val="00A65359"/>
    <w:rsid w:val="00A73ADF"/>
    <w:rsid w:val="00A745A2"/>
    <w:rsid w:val="00A8732D"/>
    <w:rsid w:val="00A87A91"/>
    <w:rsid w:val="00A90BDD"/>
    <w:rsid w:val="00A91146"/>
    <w:rsid w:val="00A913CD"/>
    <w:rsid w:val="00A96D21"/>
    <w:rsid w:val="00AA249B"/>
    <w:rsid w:val="00AA4C1F"/>
    <w:rsid w:val="00AA70C3"/>
    <w:rsid w:val="00AA7A81"/>
    <w:rsid w:val="00AA7D41"/>
    <w:rsid w:val="00AC1260"/>
    <w:rsid w:val="00AC2941"/>
    <w:rsid w:val="00AC2A49"/>
    <w:rsid w:val="00AC4901"/>
    <w:rsid w:val="00AC7280"/>
    <w:rsid w:val="00AD0AE7"/>
    <w:rsid w:val="00AD71B6"/>
    <w:rsid w:val="00AF6DED"/>
    <w:rsid w:val="00B01062"/>
    <w:rsid w:val="00B02A1D"/>
    <w:rsid w:val="00B2125E"/>
    <w:rsid w:val="00B21D6A"/>
    <w:rsid w:val="00B27958"/>
    <w:rsid w:val="00B31FF0"/>
    <w:rsid w:val="00B32B5A"/>
    <w:rsid w:val="00B4244B"/>
    <w:rsid w:val="00B47768"/>
    <w:rsid w:val="00B51458"/>
    <w:rsid w:val="00B51A4E"/>
    <w:rsid w:val="00B523BB"/>
    <w:rsid w:val="00B552A8"/>
    <w:rsid w:val="00B66D9D"/>
    <w:rsid w:val="00B71357"/>
    <w:rsid w:val="00B920B8"/>
    <w:rsid w:val="00B93F83"/>
    <w:rsid w:val="00B945E0"/>
    <w:rsid w:val="00BB638A"/>
    <w:rsid w:val="00BC061B"/>
    <w:rsid w:val="00BC7126"/>
    <w:rsid w:val="00BE0A13"/>
    <w:rsid w:val="00BE5EB4"/>
    <w:rsid w:val="00BF3A3E"/>
    <w:rsid w:val="00BF6276"/>
    <w:rsid w:val="00BF7BCC"/>
    <w:rsid w:val="00C0443F"/>
    <w:rsid w:val="00C13370"/>
    <w:rsid w:val="00C201CF"/>
    <w:rsid w:val="00C2237E"/>
    <w:rsid w:val="00C223EF"/>
    <w:rsid w:val="00C43C24"/>
    <w:rsid w:val="00C478A3"/>
    <w:rsid w:val="00C55BBA"/>
    <w:rsid w:val="00C55C90"/>
    <w:rsid w:val="00C62A85"/>
    <w:rsid w:val="00C67CE5"/>
    <w:rsid w:val="00C67F97"/>
    <w:rsid w:val="00C7322C"/>
    <w:rsid w:val="00C73687"/>
    <w:rsid w:val="00C80268"/>
    <w:rsid w:val="00C9523F"/>
    <w:rsid w:val="00C97B0F"/>
    <w:rsid w:val="00CA550C"/>
    <w:rsid w:val="00CB6A3E"/>
    <w:rsid w:val="00CD42F7"/>
    <w:rsid w:val="00CD5352"/>
    <w:rsid w:val="00CD5D72"/>
    <w:rsid w:val="00CE386F"/>
    <w:rsid w:val="00CF1B3D"/>
    <w:rsid w:val="00D007AF"/>
    <w:rsid w:val="00D178EC"/>
    <w:rsid w:val="00D3166F"/>
    <w:rsid w:val="00D33F17"/>
    <w:rsid w:val="00D4197B"/>
    <w:rsid w:val="00D505A4"/>
    <w:rsid w:val="00D518FA"/>
    <w:rsid w:val="00D602EE"/>
    <w:rsid w:val="00D60A8C"/>
    <w:rsid w:val="00D611EC"/>
    <w:rsid w:val="00D619FD"/>
    <w:rsid w:val="00D61C44"/>
    <w:rsid w:val="00D65B0C"/>
    <w:rsid w:val="00D74D7B"/>
    <w:rsid w:val="00D76119"/>
    <w:rsid w:val="00D77084"/>
    <w:rsid w:val="00D829BF"/>
    <w:rsid w:val="00D84E3A"/>
    <w:rsid w:val="00DA4B85"/>
    <w:rsid w:val="00DA5487"/>
    <w:rsid w:val="00DA6D18"/>
    <w:rsid w:val="00DB4ADF"/>
    <w:rsid w:val="00DD1C86"/>
    <w:rsid w:val="00DD207E"/>
    <w:rsid w:val="00DD4057"/>
    <w:rsid w:val="00DE0FAE"/>
    <w:rsid w:val="00DE5521"/>
    <w:rsid w:val="00DF21C1"/>
    <w:rsid w:val="00DF2EE2"/>
    <w:rsid w:val="00DF5E06"/>
    <w:rsid w:val="00DF7022"/>
    <w:rsid w:val="00E00290"/>
    <w:rsid w:val="00E04113"/>
    <w:rsid w:val="00E05D36"/>
    <w:rsid w:val="00E16A6E"/>
    <w:rsid w:val="00E31A8F"/>
    <w:rsid w:val="00E33018"/>
    <w:rsid w:val="00E33077"/>
    <w:rsid w:val="00E356B8"/>
    <w:rsid w:val="00E36E9E"/>
    <w:rsid w:val="00E37BEB"/>
    <w:rsid w:val="00E40C58"/>
    <w:rsid w:val="00E44A70"/>
    <w:rsid w:val="00E44CC6"/>
    <w:rsid w:val="00E56777"/>
    <w:rsid w:val="00E57C1D"/>
    <w:rsid w:val="00E6022E"/>
    <w:rsid w:val="00E82EFB"/>
    <w:rsid w:val="00E83BD4"/>
    <w:rsid w:val="00E90B23"/>
    <w:rsid w:val="00EA1D98"/>
    <w:rsid w:val="00EA7F25"/>
    <w:rsid w:val="00EB2F02"/>
    <w:rsid w:val="00EB378D"/>
    <w:rsid w:val="00EB520B"/>
    <w:rsid w:val="00EC1867"/>
    <w:rsid w:val="00ED04A9"/>
    <w:rsid w:val="00ED2A25"/>
    <w:rsid w:val="00ED4CA6"/>
    <w:rsid w:val="00ED7BBB"/>
    <w:rsid w:val="00EE2F3C"/>
    <w:rsid w:val="00EE3395"/>
    <w:rsid w:val="00EE480A"/>
    <w:rsid w:val="00EE52AE"/>
    <w:rsid w:val="00F00042"/>
    <w:rsid w:val="00F008EF"/>
    <w:rsid w:val="00F127BC"/>
    <w:rsid w:val="00F13AB5"/>
    <w:rsid w:val="00F15849"/>
    <w:rsid w:val="00F21672"/>
    <w:rsid w:val="00F2237D"/>
    <w:rsid w:val="00F37036"/>
    <w:rsid w:val="00F4008E"/>
    <w:rsid w:val="00F4204D"/>
    <w:rsid w:val="00F44471"/>
    <w:rsid w:val="00F5374F"/>
    <w:rsid w:val="00F53B0A"/>
    <w:rsid w:val="00F55212"/>
    <w:rsid w:val="00F57971"/>
    <w:rsid w:val="00F63EB0"/>
    <w:rsid w:val="00F67BF6"/>
    <w:rsid w:val="00F71503"/>
    <w:rsid w:val="00FA1505"/>
    <w:rsid w:val="00FA47B6"/>
    <w:rsid w:val="00FB282A"/>
    <w:rsid w:val="00FB541A"/>
    <w:rsid w:val="00FC2B96"/>
    <w:rsid w:val="00FD6157"/>
    <w:rsid w:val="00FE529D"/>
    <w:rsid w:val="00FE64EA"/>
    <w:rsid w:val="00FF56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5BBA"/>
    <w:rPr>
      <w:rFonts w:ascii="Tahoma" w:hAnsi="Tahoma" w:cs="Tahoma"/>
      <w:sz w:val="16"/>
      <w:szCs w:val="16"/>
    </w:rPr>
  </w:style>
  <w:style w:type="character" w:customStyle="1" w:styleId="BalloonTextChar">
    <w:name w:val="Balloon Text Char"/>
    <w:basedOn w:val="DefaultParagraphFont"/>
    <w:link w:val="BalloonText"/>
    <w:uiPriority w:val="99"/>
    <w:semiHidden/>
    <w:rsid w:val="00C55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85711529">
      <w:bodyDiv w:val="1"/>
      <w:marLeft w:val="0"/>
      <w:marRight w:val="0"/>
      <w:marTop w:val="0"/>
      <w:marBottom w:val="0"/>
      <w:divBdr>
        <w:top w:val="none" w:sz="0" w:space="0" w:color="auto"/>
        <w:left w:val="none" w:sz="0" w:space="0" w:color="auto"/>
        <w:bottom w:val="none" w:sz="0" w:space="0" w:color="auto"/>
        <w:right w:val="none" w:sz="0" w:space="0" w:color="auto"/>
      </w:divBdr>
    </w:div>
    <w:div w:id="1638491403">
      <w:bodyDiv w:val="1"/>
      <w:marLeft w:val="0"/>
      <w:marRight w:val="0"/>
      <w:marTop w:val="0"/>
      <w:marBottom w:val="0"/>
      <w:divBdr>
        <w:top w:val="none" w:sz="0" w:space="0" w:color="auto"/>
        <w:left w:val="none" w:sz="0" w:space="0" w:color="auto"/>
        <w:bottom w:val="none" w:sz="0" w:space="0" w:color="auto"/>
        <w:right w:val="none" w:sz="0" w:space="0" w:color="auto"/>
      </w:divBdr>
    </w:div>
    <w:div w:id="212121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Godden</dc:creator>
  <cp:lastModifiedBy>Penny Fidler</cp:lastModifiedBy>
  <cp:revision>3</cp:revision>
  <cp:lastPrinted>2016-09-21T15:18:00Z</cp:lastPrinted>
  <dcterms:created xsi:type="dcterms:W3CDTF">2016-09-22T17:19:00Z</dcterms:created>
  <dcterms:modified xsi:type="dcterms:W3CDTF">2016-09-22T17:21:00Z</dcterms:modified>
</cp:coreProperties>
</file>