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ED27" w14:textId="77777777" w:rsidR="0042575D" w:rsidRDefault="00693DFE">
      <w:pPr>
        <w:rPr>
          <w:b/>
          <w:sz w:val="14"/>
        </w:rPr>
      </w:pPr>
      <w:r>
        <w:rPr>
          <w:b/>
          <w:noProof/>
          <w:sz w:val="14"/>
          <w:lang w:val="en-US"/>
        </w:rPr>
        <w:drawing>
          <wp:anchor distT="0" distB="0" distL="114300" distR="114300" simplePos="0" relativeHeight="251659264" behindDoc="0" locked="0" layoutInCell="1" allowOverlap="1" wp14:anchorId="720EF867" wp14:editId="30E20107">
            <wp:simplePos x="0" y="0"/>
            <wp:positionH relativeFrom="margin">
              <wp:posOffset>3698867</wp:posOffset>
            </wp:positionH>
            <wp:positionV relativeFrom="margin">
              <wp:posOffset>-610908</wp:posOffset>
            </wp:positionV>
            <wp:extent cx="2128360" cy="1287811"/>
            <wp:effectExtent l="0" t="0" r="5715" b="762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53" t="10779" r="9665" b="12575"/>
                    <a:stretch>
                      <a:fillRect/>
                    </a:stretch>
                  </pic:blipFill>
                  <pic:spPr bwMode="auto">
                    <a:xfrm>
                      <a:off x="0" y="0"/>
                      <a:ext cx="2144392" cy="12975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075B6" w14:textId="77777777" w:rsidR="0042575D" w:rsidRDefault="0042575D">
      <w:pPr>
        <w:rPr>
          <w:b/>
          <w:sz w:val="14"/>
        </w:rPr>
      </w:pPr>
    </w:p>
    <w:p w14:paraId="30F9DC85" w14:textId="77777777" w:rsidR="0042575D" w:rsidRDefault="0042575D">
      <w:pPr>
        <w:rPr>
          <w:b/>
          <w:sz w:val="14"/>
        </w:rPr>
      </w:pPr>
    </w:p>
    <w:p w14:paraId="62A43B72" w14:textId="77777777" w:rsidR="0042575D" w:rsidRDefault="0042575D">
      <w:pPr>
        <w:rPr>
          <w:b/>
          <w:sz w:val="14"/>
        </w:rPr>
      </w:pPr>
    </w:p>
    <w:p w14:paraId="0ED39AAD" w14:textId="7C8DAFF5" w:rsidR="00E56777" w:rsidRPr="0042575D" w:rsidRDefault="007E3D61">
      <w:pPr>
        <w:rPr>
          <w:b/>
          <w:sz w:val="14"/>
        </w:rPr>
      </w:pPr>
      <w:r w:rsidRPr="007656F7">
        <w:rPr>
          <w:b/>
          <w:sz w:val="40"/>
        </w:rPr>
        <w:t>Treasurer’s report</w:t>
      </w:r>
    </w:p>
    <w:p w14:paraId="66E1A222" w14:textId="77777777" w:rsidR="007E3D61" w:rsidRPr="007656F7" w:rsidRDefault="007E3D61">
      <w:pPr>
        <w:rPr>
          <w:sz w:val="28"/>
        </w:rPr>
      </w:pPr>
    </w:p>
    <w:p w14:paraId="7915D089" w14:textId="1410C726" w:rsidR="007E3D61" w:rsidRPr="007656F7" w:rsidRDefault="00EE513A">
      <w:pPr>
        <w:rPr>
          <w:b/>
          <w:sz w:val="28"/>
        </w:rPr>
      </w:pPr>
      <w:r>
        <w:rPr>
          <w:b/>
          <w:sz w:val="28"/>
        </w:rPr>
        <w:t xml:space="preserve">ASDC AGM </w:t>
      </w:r>
      <w:r w:rsidR="00E11013">
        <w:rPr>
          <w:b/>
          <w:sz w:val="28"/>
        </w:rPr>
        <w:t>November</w:t>
      </w:r>
      <w:r w:rsidR="0092272C">
        <w:rPr>
          <w:b/>
          <w:sz w:val="28"/>
        </w:rPr>
        <w:t xml:space="preserve"> 201</w:t>
      </w:r>
      <w:r w:rsidR="00E11013">
        <w:rPr>
          <w:b/>
          <w:sz w:val="28"/>
        </w:rPr>
        <w:t>9</w:t>
      </w:r>
    </w:p>
    <w:p w14:paraId="12CDAC52" w14:textId="77777777" w:rsidR="007E3D61" w:rsidRDefault="007E3D61"/>
    <w:p w14:paraId="7758851A" w14:textId="77777777" w:rsidR="007E3D61" w:rsidRDefault="007E3D61"/>
    <w:p w14:paraId="19F722F2" w14:textId="74E8AE99" w:rsidR="007E3D61" w:rsidRPr="00C97B0F" w:rsidRDefault="0092272C" w:rsidP="007656F7">
      <w:pPr>
        <w:spacing w:line="276" w:lineRule="auto"/>
        <w:jc w:val="both"/>
        <w:rPr>
          <w:b/>
          <w:sz w:val="24"/>
        </w:rPr>
      </w:pPr>
      <w:r>
        <w:rPr>
          <w:b/>
          <w:sz w:val="24"/>
        </w:rPr>
        <w:t>Annual Accounts for 2018</w:t>
      </w:r>
      <w:r w:rsidR="00E11013">
        <w:rPr>
          <w:b/>
          <w:sz w:val="24"/>
        </w:rPr>
        <w:t>-19</w:t>
      </w:r>
    </w:p>
    <w:p w14:paraId="390451FD" w14:textId="45536ABB" w:rsidR="009E3944" w:rsidRDefault="009E3944" w:rsidP="007656F7">
      <w:pPr>
        <w:spacing w:line="276" w:lineRule="auto"/>
        <w:jc w:val="both"/>
      </w:pPr>
      <w:r>
        <w:t>The accounts are de</w:t>
      </w:r>
      <w:r w:rsidR="0092272C">
        <w:t>tailed in the ASDC Accounts 2018</w:t>
      </w:r>
      <w:r w:rsidR="00E11013">
        <w:t>-19</w:t>
      </w:r>
      <w:r>
        <w:t xml:space="preserve"> from page 1</w:t>
      </w:r>
      <w:r w:rsidR="00FE0E55">
        <w:t>4</w:t>
      </w:r>
      <w:r>
        <w:t xml:space="preserve"> onwards</w:t>
      </w:r>
      <w:r w:rsidR="00D40A5D">
        <w:t>.</w:t>
      </w:r>
    </w:p>
    <w:p w14:paraId="75CA39F6" w14:textId="77777777" w:rsidR="009E3944" w:rsidRDefault="009E3944" w:rsidP="007656F7">
      <w:pPr>
        <w:spacing w:line="276" w:lineRule="auto"/>
        <w:jc w:val="both"/>
      </w:pPr>
    </w:p>
    <w:p w14:paraId="6A1E9783" w14:textId="62409ADA" w:rsidR="007E3D61" w:rsidRPr="00C97B0F" w:rsidRDefault="008B1877" w:rsidP="007656F7">
      <w:pPr>
        <w:spacing w:line="276" w:lineRule="auto"/>
        <w:jc w:val="both"/>
        <w:rPr>
          <w:b/>
          <w:sz w:val="24"/>
        </w:rPr>
      </w:pPr>
      <w:r w:rsidRPr="00C97B0F">
        <w:rPr>
          <w:b/>
          <w:sz w:val="24"/>
        </w:rPr>
        <w:t>Financial</w:t>
      </w:r>
      <w:r w:rsidR="007E3D61" w:rsidRPr="00C97B0F">
        <w:rPr>
          <w:b/>
          <w:sz w:val="24"/>
        </w:rPr>
        <w:t xml:space="preserve"> results</w:t>
      </w:r>
      <w:r w:rsidR="0092272C">
        <w:rPr>
          <w:b/>
          <w:sz w:val="24"/>
        </w:rPr>
        <w:t xml:space="preserve"> for the year 2018</w:t>
      </w:r>
      <w:r w:rsidR="00FE0E55">
        <w:rPr>
          <w:b/>
          <w:sz w:val="24"/>
        </w:rPr>
        <w:t>-19</w:t>
      </w:r>
    </w:p>
    <w:p w14:paraId="32A77440" w14:textId="6CB63A60" w:rsidR="007321DB" w:rsidRDefault="007E3D61" w:rsidP="0042575D">
      <w:pPr>
        <w:spacing w:line="276" w:lineRule="auto"/>
        <w:ind w:right="282"/>
        <w:jc w:val="both"/>
      </w:pPr>
      <w:r>
        <w:t>Total income for the year was £</w:t>
      </w:r>
      <w:r w:rsidR="00FE0E55">
        <w:t>441,774</w:t>
      </w:r>
      <w:r>
        <w:t xml:space="preserve">. This is a </w:t>
      </w:r>
      <w:r w:rsidR="00D40A5D">
        <w:t>reduction from</w:t>
      </w:r>
      <w:r>
        <w:t xml:space="preserve"> 201</w:t>
      </w:r>
      <w:r w:rsidR="007321DB">
        <w:t>7</w:t>
      </w:r>
      <w:r w:rsidR="00FE0E55">
        <w:t>-18</w:t>
      </w:r>
      <w:r w:rsidR="007321DB">
        <w:t xml:space="preserve"> </w:t>
      </w:r>
      <w:r>
        <w:t>(£</w:t>
      </w:r>
      <w:r w:rsidR="00FE0E55">
        <w:t>585,824</w:t>
      </w:r>
      <w:r>
        <w:t xml:space="preserve">). Income from </w:t>
      </w:r>
      <w:r w:rsidR="00EE513A">
        <w:t>p</w:t>
      </w:r>
      <w:r w:rsidR="008B1877">
        <w:t>rojects</w:t>
      </w:r>
      <w:r>
        <w:t xml:space="preserve"> was </w:t>
      </w:r>
      <w:r w:rsidR="00D40A5D">
        <w:t>down</w:t>
      </w:r>
      <w:r>
        <w:t xml:space="preserve"> to £</w:t>
      </w:r>
      <w:r w:rsidR="00FE0E55">
        <w:t>357,678</w:t>
      </w:r>
      <w:r>
        <w:t xml:space="preserve"> (from £</w:t>
      </w:r>
      <w:r w:rsidR="00FE0E55">
        <w:t>529,161</w:t>
      </w:r>
      <w:r w:rsidR="007321DB">
        <w:t xml:space="preserve"> </w:t>
      </w:r>
      <w:r>
        <w:t xml:space="preserve">in </w:t>
      </w:r>
      <w:r w:rsidR="007321DB">
        <w:t>2017</w:t>
      </w:r>
      <w:r w:rsidR="00FE0E55">
        <w:t>-18)</w:t>
      </w:r>
      <w:r w:rsidR="00C55BBA">
        <w:t xml:space="preserve">. </w:t>
      </w:r>
      <w:r w:rsidR="007321DB">
        <w:t>Membership fees of £</w:t>
      </w:r>
      <w:r w:rsidR="00FE0E55">
        <w:t>32,580</w:t>
      </w:r>
      <w:r w:rsidR="00D40A5D">
        <w:t xml:space="preserve"> are </w:t>
      </w:r>
      <w:r w:rsidR="007321DB">
        <w:t>up</w:t>
      </w:r>
      <w:r w:rsidR="00D40A5D">
        <w:t xml:space="preserve"> </w:t>
      </w:r>
      <w:r w:rsidR="007321DB">
        <w:t>on 2017</w:t>
      </w:r>
      <w:r w:rsidR="00FE0E55">
        <w:t>-18</w:t>
      </w:r>
      <w:r w:rsidR="00D40A5D">
        <w:t xml:space="preserve"> (£2</w:t>
      </w:r>
      <w:r w:rsidR="00FE0E55">
        <w:t>8,200</w:t>
      </w:r>
      <w:r w:rsidR="00D40A5D">
        <w:t>)</w:t>
      </w:r>
      <w:r w:rsidR="007321DB">
        <w:t>.</w:t>
      </w:r>
      <w:r w:rsidR="004C065F">
        <w:t xml:space="preserve"> </w:t>
      </w:r>
    </w:p>
    <w:p w14:paraId="25EA783A" w14:textId="77777777" w:rsidR="000E619C" w:rsidRDefault="000E619C" w:rsidP="0042575D">
      <w:pPr>
        <w:spacing w:line="276" w:lineRule="auto"/>
        <w:ind w:right="-1"/>
        <w:jc w:val="both"/>
      </w:pPr>
    </w:p>
    <w:p w14:paraId="5D239829" w14:textId="0753C9F6" w:rsidR="006A5162" w:rsidRDefault="006A5162" w:rsidP="0042575D">
      <w:pPr>
        <w:spacing w:line="276" w:lineRule="auto"/>
        <w:ind w:right="-1"/>
        <w:jc w:val="both"/>
      </w:pPr>
      <w:r>
        <w:t xml:space="preserve">A summary of income during the past </w:t>
      </w:r>
      <w:r w:rsidR="005F6623">
        <w:t>four</w:t>
      </w:r>
      <w:r>
        <w:t xml:space="preserve"> years is shown below.</w:t>
      </w:r>
    </w:p>
    <w:p w14:paraId="3477A308" w14:textId="77777777" w:rsidR="000E619C" w:rsidRDefault="000E619C" w:rsidP="0042575D">
      <w:pPr>
        <w:spacing w:line="276" w:lineRule="auto"/>
        <w:ind w:right="-1"/>
        <w:jc w:val="both"/>
      </w:pPr>
    </w:p>
    <w:p w14:paraId="39913FBA" w14:textId="77777777" w:rsidR="004C065F" w:rsidRPr="004C065F" w:rsidRDefault="004C065F" w:rsidP="0042575D">
      <w:pPr>
        <w:spacing w:line="276" w:lineRule="auto"/>
        <w:ind w:right="-1"/>
        <w:jc w:val="both"/>
        <w:rPr>
          <w:b/>
          <w:sz w:val="24"/>
        </w:rPr>
      </w:pPr>
      <w:r w:rsidRPr="004C065F">
        <w:rPr>
          <w:b/>
          <w:sz w:val="24"/>
        </w:rPr>
        <w:t>Income</w:t>
      </w:r>
    </w:p>
    <w:tbl>
      <w:tblPr>
        <w:tblW w:w="8516" w:type="dxa"/>
        <w:tblLayout w:type="fixed"/>
        <w:tblCellMar>
          <w:left w:w="0" w:type="dxa"/>
          <w:right w:w="0" w:type="dxa"/>
        </w:tblCellMar>
        <w:tblLook w:val="04A0" w:firstRow="1" w:lastRow="0" w:firstColumn="1" w:lastColumn="0" w:noHBand="0" w:noVBand="1"/>
      </w:tblPr>
      <w:tblGrid>
        <w:gridCol w:w="2771"/>
        <w:gridCol w:w="1400"/>
        <w:gridCol w:w="1517"/>
        <w:gridCol w:w="1414"/>
        <w:gridCol w:w="1414"/>
      </w:tblGrid>
      <w:tr w:rsidR="00FE0E55" w:rsidRPr="008B1877" w14:paraId="38E0334A" w14:textId="249EDBD2" w:rsidTr="00FE0E55">
        <w:trPr>
          <w:trHeight w:val="397"/>
        </w:trPr>
        <w:tc>
          <w:tcPr>
            <w:tcW w:w="2771"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14:paraId="14468C74" w14:textId="77777777" w:rsidR="00FE0E55" w:rsidRPr="008B1877" w:rsidRDefault="00FE0E55" w:rsidP="0042575D">
            <w:pPr>
              <w:spacing w:line="276" w:lineRule="auto"/>
              <w:ind w:right="-1"/>
            </w:pPr>
          </w:p>
        </w:tc>
        <w:tc>
          <w:tcPr>
            <w:tcW w:w="1400"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14:paraId="617FC59A" w14:textId="77777777" w:rsidR="00FE0E55" w:rsidRPr="008B1877" w:rsidRDefault="00FE0E55" w:rsidP="0042575D">
            <w:pPr>
              <w:spacing w:line="276" w:lineRule="auto"/>
              <w:ind w:right="-1"/>
              <w:jc w:val="center"/>
            </w:pPr>
            <w:r w:rsidRPr="008B1877">
              <w:t>2015</w:t>
            </w:r>
            <w:r>
              <w:t>-16</w:t>
            </w:r>
          </w:p>
        </w:tc>
        <w:tc>
          <w:tcPr>
            <w:tcW w:w="15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14:paraId="7DCC9675" w14:textId="77777777" w:rsidR="00FE0E55" w:rsidRPr="008B1877" w:rsidRDefault="00FE0E55" w:rsidP="0042575D">
            <w:pPr>
              <w:spacing w:line="276" w:lineRule="auto"/>
              <w:ind w:right="-1"/>
              <w:jc w:val="center"/>
            </w:pPr>
            <w:r>
              <w:t>2016-17</w:t>
            </w:r>
          </w:p>
        </w:tc>
        <w:tc>
          <w:tcPr>
            <w:tcW w:w="1414"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2CB50DD3" w14:textId="77777777" w:rsidR="00FE0E55" w:rsidRDefault="00FE0E55" w:rsidP="0042575D">
            <w:pPr>
              <w:spacing w:line="276" w:lineRule="auto"/>
              <w:ind w:right="-1"/>
              <w:jc w:val="center"/>
            </w:pPr>
            <w:r>
              <w:t>2017-18</w:t>
            </w:r>
          </w:p>
        </w:tc>
        <w:tc>
          <w:tcPr>
            <w:tcW w:w="1414"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7D63BB83" w14:textId="117F53CC" w:rsidR="00FE0E55" w:rsidRDefault="00FE0E55" w:rsidP="0042575D">
            <w:pPr>
              <w:spacing w:line="276" w:lineRule="auto"/>
              <w:ind w:right="-1"/>
              <w:jc w:val="center"/>
            </w:pPr>
            <w:r>
              <w:t>2018-19</w:t>
            </w:r>
          </w:p>
        </w:tc>
      </w:tr>
      <w:tr w:rsidR="00FE0E55" w:rsidRPr="008B1877" w14:paraId="0A564143" w14:textId="761D8194" w:rsidTr="00FE0E55">
        <w:trPr>
          <w:trHeight w:val="284"/>
        </w:trPr>
        <w:tc>
          <w:tcPr>
            <w:tcW w:w="277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0C1C7D58" w14:textId="77777777" w:rsidR="00FE0E55" w:rsidRPr="008B1877" w:rsidRDefault="00FE0E55" w:rsidP="0042575D">
            <w:pPr>
              <w:spacing w:line="276" w:lineRule="auto"/>
              <w:ind w:right="-1"/>
            </w:pPr>
            <w:r>
              <w:t>Project Income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1B3A27EE" w14:textId="77777777" w:rsidR="00FE0E55" w:rsidRPr="008B1877" w:rsidRDefault="00FE0E55" w:rsidP="0042575D">
            <w:pPr>
              <w:spacing w:line="276" w:lineRule="auto"/>
              <w:ind w:right="-1"/>
              <w:jc w:val="right"/>
            </w:pPr>
            <w:r>
              <w:t>947,704</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211A996C" w14:textId="77777777" w:rsidR="00FE0E55" w:rsidRPr="008B1877" w:rsidRDefault="00FE0E55" w:rsidP="0042575D">
            <w:pPr>
              <w:spacing w:line="276" w:lineRule="auto"/>
              <w:ind w:right="-1"/>
              <w:jc w:val="right"/>
            </w:pPr>
            <w:r>
              <w:t>748,325</w:t>
            </w:r>
          </w:p>
        </w:tc>
        <w:tc>
          <w:tcPr>
            <w:tcW w:w="1414" w:type="dxa"/>
            <w:tcBorders>
              <w:top w:val="single" w:sz="8" w:space="0" w:color="000000"/>
              <w:left w:val="single" w:sz="8" w:space="0" w:color="000000"/>
              <w:bottom w:val="single" w:sz="8" w:space="0" w:color="000000"/>
              <w:right w:val="single" w:sz="8" w:space="0" w:color="000000"/>
            </w:tcBorders>
            <w:vAlign w:val="center"/>
          </w:tcPr>
          <w:p w14:paraId="147C9469" w14:textId="77777777" w:rsidR="00FE0E55" w:rsidRDefault="00FE0E55" w:rsidP="0042575D">
            <w:pPr>
              <w:spacing w:line="276" w:lineRule="auto"/>
              <w:ind w:right="-1"/>
              <w:jc w:val="right"/>
            </w:pPr>
            <w:r>
              <w:t>529,161</w:t>
            </w:r>
          </w:p>
        </w:tc>
        <w:tc>
          <w:tcPr>
            <w:tcW w:w="1414" w:type="dxa"/>
            <w:tcBorders>
              <w:top w:val="single" w:sz="8" w:space="0" w:color="000000"/>
              <w:left w:val="single" w:sz="8" w:space="0" w:color="000000"/>
              <w:bottom w:val="single" w:sz="8" w:space="0" w:color="000000"/>
              <w:right w:val="single" w:sz="8" w:space="0" w:color="000000"/>
            </w:tcBorders>
            <w:vAlign w:val="center"/>
          </w:tcPr>
          <w:p w14:paraId="650107AB" w14:textId="4CF2E7CF" w:rsidR="00FE0E55" w:rsidRDefault="00FE0E55" w:rsidP="0042575D">
            <w:pPr>
              <w:spacing w:line="276" w:lineRule="auto"/>
              <w:ind w:right="-1"/>
              <w:jc w:val="right"/>
            </w:pPr>
            <w:r>
              <w:t>357,678</w:t>
            </w:r>
          </w:p>
        </w:tc>
      </w:tr>
      <w:tr w:rsidR="00FE0E55" w:rsidRPr="008B1877" w14:paraId="3E8ADEE2" w14:textId="73902387" w:rsidTr="00FE0E55">
        <w:trPr>
          <w:trHeight w:val="284"/>
        </w:trPr>
        <w:tc>
          <w:tcPr>
            <w:tcW w:w="277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2A1254E6" w14:textId="77777777" w:rsidR="00FE0E55" w:rsidRPr="008B1877" w:rsidRDefault="00FE0E55" w:rsidP="0042575D">
            <w:pPr>
              <w:spacing w:line="276" w:lineRule="auto"/>
              <w:ind w:right="-1"/>
            </w:pPr>
            <w:r w:rsidRPr="008B1877">
              <w:t>Subscriptions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3A7E7A9C" w14:textId="77777777" w:rsidR="00FE0E55" w:rsidRPr="008B1877" w:rsidRDefault="00FE0E55" w:rsidP="0042575D">
            <w:pPr>
              <w:spacing w:line="276" w:lineRule="auto"/>
              <w:ind w:right="-1"/>
              <w:jc w:val="right"/>
            </w:pPr>
            <w:r>
              <w:t>28,486</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213289AA" w14:textId="77777777" w:rsidR="00FE0E55" w:rsidRPr="008B1877" w:rsidRDefault="00FE0E55" w:rsidP="0042575D">
            <w:pPr>
              <w:spacing w:line="276" w:lineRule="auto"/>
              <w:ind w:right="-1"/>
              <w:jc w:val="right"/>
            </w:pPr>
            <w:r>
              <w:t>26,450</w:t>
            </w:r>
          </w:p>
        </w:tc>
        <w:tc>
          <w:tcPr>
            <w:tcW w:w="1414" w:type="dxa"/>
            <w:tcBorders>
              <w:top w:val="single" w:sz="8" w:space="0" w:color="000000"/>
              <w:left w:val="single" w:sz="8" w:space="0" w:color="000000"/>
              <w:bottom w:val="single" w:sz="8" w:space="0" w:color="000000"/>
              <w:right w:val="single" w:sz="8" w:space="0" w:color="000000"/>
            </w:tcBorders>
            <w:vAlign w:val="center"/>
          </w:tcPr>
          <w:p w14:paraId="2AD8142D" w14:textId="77777777" w:rsidR="00FE0E55" w:rsidRDefault="00FE0E55" w:rsidP="0042575D">
            <w:pPr>
              <w:spacing w:line="276" w:lineRule="auto"/>
              <w:ind w:right="-1"/>
              <w:jc w:val="right"/>
            </w:pPr>
            <w:r>
              <w:t>28,200</w:t>
            </w:r>
          </w:p>
        </w:tc>
        <w:tc>
          <w:tcPr>
            <w:tcW w:w="1414" w:type="dxa"/>
            <w:tcBorders>
              <w:top w:val="single" w:sz="8" w:space="0" w:color="000000"/>
              <w:left w:val="single" w:sz="8" w:space="0" w:color="000000"/>
              <w:bottom w:val="single" w:sz="8" w:space="0" w:color="000000"/>
              <w:right w:val="single" w:sz="8" w:space="0" w:color="000000"/>
            </w:tcBorders>
            <w:vAlign w:val="center"/>
          </w:tcPr>
          <w:p w14:paraId="7BAFEE45" w14:textId="439E9033" w:rsidR="00FE0E55" w:rsidRDefault="00FE0E55" w:rsidP="0042575D">
            <w:pPr>
              <w:spacing w:line="276" w:lineRule="auto"/>
              <w:ind w:right="-1"/>
              <w:jc w:val="right"/>
            </w:pPr>
            <w:r>
              <w:t>32,580</w:t>
            </w:r>
          </w:p>
        </w:tc>
      </w:tr>
      <w:tr w:rsidR="00FE0E55" w:rsidRPr="008B1877" w14:paraId="1170DEB3" w14:textId="2754D391" w:rsidTr="00FE0E55">
        <w:trPr>
          <w:trHeight w:val="284"/>
        </w:trPr>
        <w:tc>
          <w:tcPr>
            <w:tcW w:w="277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70956A73" w14:textId="77777777" w:rsidR="00FE0E55" w:rsidRPr="008B1877" w:rsidRDefault="00FE0E55" w:rsidP="0042575D">
            <w:pPr>
              <w:spacing w:line="276" w:lineRule="auto"/>
              <w:ind w:right="-1"/>
            </w:pPr>
            <w:r w:rsidRPr="008B1877">
              <w:t>Other income</w:t>
            </w:r>
            <w:r>
              <w:t xml:space="preserve"> (including annual conference)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3D344FEA" w14:textId="77777777" w:rsidR="00FE0E55" w:rsidRPr="008B1877" w:rsidRDefault="00FE0E55" w:rsidP="0042575D">
            <w:pPr>
              <w:spacing w:line="276" w:lineRule="auto"/>
              <w:ind w:right="-1"/>
              <w:jc w:val="right"/>
            </w:pPr>
            <w:r>
              <w:t>18,475</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1AEA8B0B" w14:textId="77777777" w:rsidR="00FE0E55" w:rsidRPr="008B1877" w:rsidRDefault="00FE0E55" w:rsidP="0042575D">
            <w:pPr>
              <w:pStyle w:val="ListParagraph"/>
              <w:spacing w:line="276" w:lineRule="auto"/>
              <w:ind w:right="-1"/>
              <w:jc w:val="center"/>
            </w:pPr>
            <w:r>
              <w:t>22,628</w:t>
            </w:r>
          </w:p>
        </w:tc>
        <w:tc>
          <w:tcPr>
            <w:tcW w:w="1414" w:type="dxa"/>
            <w:tcBorders>
              <w:top w:val="single" w:sz="8" w:space="0" w:color="000000"/>
              <w:left w:val="single" w:sz="8" w:space="0" w:color="000000"/>
              <w:bottom w:val="single" w:sz="8" w:space="0" w:color="000000"/>
              <w:right w:val="single" w:sz="8" w:space="0" w:color="000000"/>
            </w:tcBorders>
            <w:vAlign w:val="center"/>
          </w:tcPr>
          <w:p w14:paraId="32E4DFF7" w14:textId="77777777" w:rsidR="00FE0E55" w:rsidRDefault="00FE0E55" w:rsidP="0042575D">
            <w:pPr>
              <w:spacing w:line="276" w:lineRule="auto"/>
              <w:ind w:right="-1"/>
              <w:jc w:val="right"/>
            </w:pPr>
            <w:r>
              <w:t>28,463</w:t>
            </w:r>
          </w:p>
        </w:tc>
        <w:tc>
          <w:tcPr>
            <w:tcW w:w="1414" w:type="dxa"/>
            <w:tcBorders>
              <w:top w:val="single" w:sz="8" w:space="0" w:color="000000"/>
              <w:left w:val="single" w:sz="8" w:space="0" w:color="000000"/>
              <w:bottom w:val="single" w:sz="8" w:space="0" w:color="000000"/>
              <w:right w:val="single" w:sz="8" w:space="0" w:color="000000"/>
            </w:tcBorders>
            <w:vAlign w:val="center"/>
          </w:tcPr>
          <w:p w14:paraId="7C4516F2" w14:textId="1BD2CF83" w:rsidR="00FE0E55" w:rsidRDefault="00FE0E55" w:rsidP="0042575D">
            <w:pPr>
              <w:spacing w:line="276" w:lineRule="auto"/>
              <w:ind w:right="-1"/>
              <w:jc w:val="right"/>
            </w:pPr>
            <w:r>
              <w:t>51,516</w:t>
            </w:r>
          </w:p>
        </w:tc>
      </w:tr>
      <w:tr w:rsidR="00FE0E55" w:rsidRPr="008B1877" w14:paraId="036C1C68" w14:textId="018E47BD" w:rsidTr="00FE0E55">
        <w:trPr>
          <w:trHeight w:val="284"/>
        </w:trPr>
        <w:tc>
          <w:tcPr>
            <w:tcW w:w="277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321C35F2" w14:textId="77777777" w:rsidR="00FE0E55" w:rsidRPr="008B1877" w:rsidRDefault="00FE0E55" w:rsidP="0042575D">
            <w:pPr>
              <w:spacing w:line="276" w:lineRule="auto"/>
              <w:ind w:right="-1"/>
            </w:pPr>
            <w:r w:rsidRPr="008B1877">
              <w:rPr>
                <w:lang w:val="en-US"/>
              </w:rPr>
              <w:t>Interest received</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7AB5D961" w14:textId="77777777" w:rsidR="00FE0E55" w:rsidRPr="008B1877" w:rsidRDefault="00FE0E55" w:rsidP="0042575D">
            <w:pPr>
              <w:spacing w:line="276" w:lineRule="auto"/>
              <w:ind w:right="-1"/>
              <w:jc w:val="right"/>
            </w:pPr>
            <w:r>
              <w:t>398</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2D615BBF" w14:textId="77777777" w:rsidR="00FE0E55" w:rsidRPr="008B1877" w:rsidRDefault="00FE0E55" w:rsidP="0042575D">
            <w:pPr>
              <w:spacing w:line="276" w:lineRule="auto"/>
              <w:ind w:right="-1"/>
              <w:jc w:val="right"/>
            </w:pPr>
            <w:r>
              <w:t>490</w:t>
            </w:r>
          </w:p>
        </w:tc>
        <w:tc>
          <w:tcPr>
            <w:tcW w:w="1414" w:type="dxa"/>
            <w:tcBorders>
              <w:top w:val="single" w:sz="8" w:space="0" w:color="000000"/>
              <w:left w:val="single" w:sz="8" w:space="0" w:color="000000"/>
              <w:bottom w:val="single" w:sz="8" w:space="0" w:color="000000"/>
              <w:right w:val="single" w:sz="8" w:space="0" w:color="000000"/>
            </w:tcBorders>
            <w:vAlign w:val="center"/>
          </w:tcPr>
          <w:p w14:paraId="0B096B75" w14:textId="47103635" w:rsidR="00FE0E55" w:rsidRDefault="00FE0E55" w:rsidP="0042575D">
            <w:pPr>
              <w:spacing w:line="276" w:lineRule="auto"/>
              <w:ind w:right="-1"/>
              <w:jc w:val="right"/>
            </w:pPr>
            <w: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4A62E105" w14:textId="016F8765" w:rsidR="00FE0E55" w:rsidRDefault="00FE0E55" w:rsidP="0042575D">
            <w:pPr>
              <w:spacing w:line="276" w:lineRule="auto"/>
              <w:ind w:right="-1"/>
              <w:jc w:val="right"/>
            </w:pPr>
            <w:r>
              <w:t>-</w:t>
            </w:r>
          </w:p>
        </w:tc>
      </w:tr>
      <w:tr w:rsidR="00FE0E55" w:rsidRPr="008B1877" w14:paraId="023EDDB2" w14:textId="4E5F61F8" w:rsidTr="00FE0E55">
        <w:trPr>
          <w:trHeight w:val="397"/>
        </w:trPr>
        <w:tc>
          <w:tcPr>
            <w:tcW w:w="2771"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14:paraId="658A7E65" w14:textId="77777777" w:rsidR="00FE0E55" w:rsidRPr="008B1877" w:rsidRDefault="00FE0E55" w:rsidP="0042575D">
            <w:pPr>
              <w:spacing w:line="276" w:lineRule="auto"/>
              <w:ind w:right="-1"/>
            </w:pPr>
            <w:r w:rsidRPr="008B1877">
              <w:rPr>
                <w:b/>
                <w:bCs/>
                <w:lang w:val="en-US"/>
              </w:rPr>
              <w:t>Total Income</w:t>
            </w:r>
          </w:p>
        </w:tc>
        <w:tc>
          <w:tcPr>
            <w:tcW w:w="1400"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1BE8CE5C" w14:textId="77777777" w:rsidR="00FE0E55" w:rsidRPr="00530352" w:rsidRDefault="00FE0E55" w:rsidP="0042575D">
            <w:pPr>
              <w:spacing w:line="276" w:lineRule="auto"/>
              <w:ind w:right="-1"/>
              <w:jc w:val="right"/>
              <w:rPr>
                <w:b/>
              </w:rPr>
            </w:pPr>
            <w:r w:rsidRPr="00530352">
              <w:rPr>
                <w:b/>
              </w:rPr>
              <w:t>£995,063</w:t>
            </w:r>
          </w:p>
        </w:tc>
        <w:tc>
          <w:tcPr>
            <w:tcW w:w="15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4D414EA0" w14:textId="77777777" w:rsidR="00FE0E55" w:rsidRPr="00530352" w:rsidRDefault="00FE0E55" w:rsidP="0042575D">
            <w:pPr>
              <w:spacing w:line="276" w:lineRule="auto"/>
              <w:ind w:right="-1"/>
              <w:jc w:val="right"/>
              <w:rPr>
                <w:b/>
              </w:rPr>
            </w:pPr>
            <w:r w:rsidRPr="00530352">
              <w:rPr>
                <w:b/>
              </w:rPr>
              <w:t>£797,893</w:t>
            </w:r>
          </w:p>
        </w:tc>
        <w:tc>
          <w:tcPr>
            <w:tcW w:w="14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5D723A99" w14:textId="77777777" w:rsidR="00FE0E55" w:rsidRPr="005F6623" w:rsidRDefault="00FE0E55" w:rsidP="0042575D">
            <w:pPr>
              <w:spacing w:line="276" w:lineRule="auto"/>
              <w:ind w:right="-1"/>
              <w:jc w:val="right"/>
              <w:rPr>
                <w:b/>
              </w:rPr>
            </w:pPr>
            <w:r w:rsidRPr="005F6623">
              <w:rPr>
                <w:b/>
              </w:rPr>
              <w:t>£585,824</w:t>
            </w:r>
          </w:p>
        </w:tc>
        <w:tc>
          <w:tcPr>
            <w:tcW w:w="14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3C3E54A4" w14:textId="058DB431" w:rsidR="00FE0E55" w:rsidRPr="005F6623" w:rsidRDefault="00FE0E55" w:rsidP="0042575D">
            <w:pPr>
              <w:spacing w:line="276" w:lineRule="auto"/>
              <w:ind w:right="-1"/>
              <w:jc w:val="right"/>
              <w:rPr>
                <w:b/>
              </w:rPr>
            </w:pPr>
            <w:r>
              <w:rPr>
                <w:b/>
              </w:rPr>
              <w:t>£441,774</w:t>
            </w:r>
          </w:p>
        </w:tc>
      </w:tr>
    </w:tbl>
    <w:p w14:paraId="40CBAE89" w14:textId="77777777" w:rsidR="006A5162" w:rsidRDefault="006A5162" w:rsidP="0042575D">
      <w:pPr>
        <w:spacing w:line="276" w:lineRule="auto"/>
        <w:ind w:right="-1"/>
        <w:jc w:val="both"/>
      </w:pPr>
    </w:p>
    <w:p w14:paraId="60F39270" w14:textId="77777777" w:rsidR="00530352" w:rsidRDefault="00530352" w:rsidP="0042575D">
      <w:pPr>
        <w:spacing w:line="276" w:lineRule="auto"/>
        <w:ind w:right="-1"/>
        <w:jc w:val="both"/>
      </w:pPr>
    </w:p>
    <w:p w14:paraId="7B45CD44" w14:textId="2E3E1CFF" w:rsidR="007E3D61" w:rsidRDefault="007E3D61" w:rsidP="0042575D">
      <w:pPr>
        <w:spacing w:line="276" w:lineRule="auto"/>
        <w:ind w:right="282"/>
        <w:jc w:val="both"/>
      </w:pPr>
      <w:r>
        <w:t>Expenditure for the year was £</w:t>
      </w:r>
      <w:r w:rsidR="00FE0E55">
        <w:t>444,304</w:t>
      </w:r>
      <w:r w:rsidR="005F6623">
        <w:t xml:space="preserve"> (2017</w:t>
      </w:r>
      <w:r w:rsidR="00FE0E55">
        <w:t>-18</w:t>
      </w:r>
      <w:r>
        <w:t>: £</w:t>
      </w:r>
      <w:r w:rsidR="00FE0E55">
        <w:t>630,308</w:t>
      </w:r>
      <w:r>
        <w:t xml:space="preserve">). </w:t>
      </w:r>
      <w:r w:rsidR="00C478A3">
        <w:t xml:space="preserve">General costs </w:t>
      </w:r>
      <w:r w:rsidR="00831D61">
        <w:t>(cost of provision of services)</w:t>
      </w:r>
      <w:r w:rsidR="00FE0E55">
        <w:t xml:space="preserve"> have reduced to £267,336 (</w:t>
      </w:r>
      <w:r w:rsidR="00831D61">
        <w:t>from £</w:t>
      </w:r>
      <w:r w:rsidR="005F6623">
        <w:t>284,041</w:t>
      </w:r>
      <w:r w:rsidR="00FE0E55">
        <w:t>).</w:t>
      </w:r>
      <w:r w:rsidR="00831D61">
        <w:t xml:space="preserve"> </w:t>
      </w:r>
      <w:r w:rsidR="00FE0E55">
        <w:t>This is largely due to the reduction in irrecoverable VAT</w:t>
      </w:r>
      <w:r w:rsidR="00831D61">
        <w:t>.</w:t>
      </w:r>
      <w:r w:rsidR="00FE0E55">
        <w:t xml:space="preserve"> Most overhead costs have remained steady.</w:t>
      </w:r>
      <w:r w:rsidR="00831D61">
        <w:t xml:space="preserve"> </w:t>
      </w:r>
    </w:p>
    <w:p w14:paraId="3FE0B033" w14:textId="77777777" w:rsidR="00831D61" w:rsidRDefault="00831D61" w:rsidP="0042575D">
      <w:pPr>
        <w:spacing w:line="276" w:lineRule="auto"/>
        <w:ind w:right="-1"/>
        <w:jc w:val="both"/>
      </w:pPr>
    </w:p>
    <w:p w14:paraId="29D4702B" w14:textId="77777777" w:rsidR="006A5162" w:rsidRDefault="006A5162" w:rsidP="0042575D">
      <w:pPr>
        <w:spacing w:line="276" w:lineRule="auto"/>
        <w:ind w:right="-1"/>
        <w:jc w:val="both"/>
      </w:pPr>
      <w:r>
        <w:t xml:space="preserve">A summary of the expenditure is shown below. </w:t>
      </w:r>
    </w:p>
    <w:p w14:paraId="55DFDAB7" w14:textId="77777777" w:rsidR="004C065F" w:rsidRDefault="004C065F" w:rsidP="0042575D">
      <w:pPr>
        <w:spacing w:line="276" w:lineRule="auto"/>
        <w:ind w:right="-1"/>
        <w:jc w:val="both"/>
      </w:pPr>
    </w:p>
    <w:p w14:paraId="07D6880F" w14:textId="77777777" w:rsidR="006A5162" w:rsidRPr="004C065F" w:rsidRDefault="004C065F" w:rsidP="0042575D">
      <w:pPr>
        <w:ind w:right="-1"/>
        <w:rPr>
          <w:b/>
          <w:sz w:val="24"/>
        </w:rPr>
      </w:pPr>
      <w:r w:rsidRPr="004C065F">
        <w:rPr>
          <w:b/>
          <w:sz w:val="24"/>
        </w:rPr>
        <w:t>Expenditure</w:t>
      </w:r>
    </w:p>
    <w:tbl>
      <w:tblPr>
        <w:tblW w:w="8503" w:type="dxa"/>
        <w:tblCellMar>
          <w:left w:w="0" w:type="dxa"/>
          <w:right w:w="0" w:type="dxa"/>
        </w:tblCellMar>
        <w:tblLook w:val="04A0" w:firstRow="1" w:lastRow="0" w:firstColumn="1" w:lastColumn="0" w:noHBand="0" w:noVBand="1"/>
      </w:tblPr>
      <w:tblGrid>
        <w:gridCol w:w="2835"/>
        <w:gridCol w:w="1417"/>
        <w:gridCol w:w="1417"/>
        <w:gridCol w:w="1417"/>
        <w:gridCol w:w="1417"/>
      </w:tblGrid>
      <w:tr w:rsidR="00FE0E55" w:rsidRPr="00831D61" w14:paraId="032708B2" w14:textId="23C7837A" w:rsidTr="00FE0E55">
        <w:trPr>
          <w:trHeight w:val="397"/>
        </w:trPr>
        <w:tc>
          <w:tcPr>
            <w:tcW w:w="2835"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14:paraId="4C2E584D" w14:textId="77777777" w:rsidR="00FE0E55" w:rsidRPr="00831D61" w:rsidRDefault="00FE0E55" w:rsidP="00831D61"/>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tcPr>
          <w:p w14:paraId="438D6FC8" w14:textId="77777777" w:rsidR="00FE0E55" w:rsidRPr="00831D61" w:rsidRDefault="00FE0E55" w:rsidP="00530352">
            <w:pPr>
              <w:jc w:val="center"/>
            </w:pPr>
            <w:r>
              <w:t>2015-16</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tcPr>
          <w:p w14:paraId="24063322" w14:textId="77777777" w:rsidR="00FE0E55" w:rsidRPr="00831D61" w:rsidRDefault="00FE0E55" w:rsidP="00530352">
            <w:pPr>
              <w:jc w:val="center"/>
            </w:pPr>
            <w:r>
              <w:t>2016-17</w:t>
            </w:r>
          </w:p>
        </w:tc>
        <w:tc>
          <w:tcPr>
            <w:tcW w:w="1417"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1CE47346" w14:textId="77777777" w:rsidR="00FE0E55" w:rsidRDefault="00FE0E55" w:rsidP="00493FA1">
            <w:pPr>
              <w:ind w:right="179"/>
              <w:jc w:val="center"/>
            </w:pPr>
            <w:r>
              <w:t>2017-18</w:t>
            </w:r>
          </w:p>
        </w:tc>
        <w:tc>
          <w:tcPr>
            <w:tcW w:w="1417"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380B9E1C" w14:textId="730D9B94" w:rsidR="00FE0E55" w:rsidRDefault="00FE0E55" w:rsidP="00FE0E55">
            <w:pPr>
              <w:ind w:right="179"/>
              <w:jc w:val="center"/>
            </w:pPr>
            <w:r>
              <w:t>2018-19</w:t>
            </w:r>
          </w:p>
        </w:tc>
      </w:tr>
      <w:tr w:rsidR="00FE0E55" w:rsidRPr="00831D61" w14:paraId="33A5A1C4" w14:textId="30BD7A41" w:rsidTr="00FE0E55">
        <w:trPr>
          <w:trHeight w:val="3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0B8533FD" w14:textId="77777777" w:rsidR="00FE0E55" w:rsidRPr="00831D61" w:rsidRDefault="00FE0E55" w:rsidP="00831D61">
            <w:r w:rsidRPr="00831D61">
              <w:rPr>
                <w:lang w:val="en-US"/>
              </w:rPr>
              <w:t>External costs of projects</w:t>
            </w:r>
            <w:r w:rsidRPr="00831D61">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6E9B978B" w14:textId="77777777" w:rsidR="00FE0E55" w:rsidRPr="00831D61" w:rsidRDefault="00FE0E55" w:rsidP="00530352">
            <w:pPr>
              <w:jc w:val="right"/>
            </w:pPr>
            <w:r>
              <w:t>588,292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62119A14" w14:textId="77777777" w:rsidR="00FE0E55" w:rsidRPr="00831D61" w:rsidRDefault="00FE0E55" w:rsidP="00530352">
            <w:pPr>
              <w:jc w:val="right"/>
            </w:pPr>
            <w:r>
              <w:t>578,893</w:t>
            </w:r>
          </w:p>
        </w:tc>
        <w:tc>
          <w:tcPr>
            <w:tcW w:w="1417" w:type="dxa"/>
            <w:tcBorders>
              <w:top w:val="single" w:sz="8" w:space="0" w:color="000000"/>
              <w:left w:val="single" w:sz="8" w:space="0" w:color="000000"/>
              <w:bottom w:val="single" w:sz="8" w:space="0" w:color="000000"/>
              <w:right w:val="single" w:sz="8" w:space="0" w:color="000000"/>
            </w:tcBorders>
            <w:vAlign w:val="center"/>
          </w:tcPr>
          <w:p w14:paraId="5850ED1F" w14:textId="77777777" w:rsidR="00FE0E55" w:rsidRDefault="00FE0E55" w:rsidP="00493FA1">
            <w:pPr>
              <w:ind w:right="179"/>
              <w:jc w:val="right"/>
            </w:pPr>
            <w:r>
              <w:t>346,267</w:t>
            </w:r>
          </w:p>
        </w:tc>
        <w:tc>
          <w:tcPr>
            <w:tcW w:w="1417" w:type="dxa"/>
            <w:tcBorders>
              <w:top w:val="single" w:sz="8" w:space="0" w:color="000000"/>
              <w:left w:val="single" w:sz="8" w:space="0" w:color="000000"/>
              <w:bottom w:val="single" w:sz="8" w:space="0" w:color="000000"/>
              <w:right w:val="single" w:sz="8" w:space="0" w:color="000000"/>
            </w:tcBorders>
            <w:vAlign w:val="center"/>
          </w:tcPr>
          <w:p w14:paraId="7007E089" w14:textId="73F8F340" w:rsidR="00FE0E55" w:rsidRDefault="00FE0E55" w:rsidP="00FE0E55">
            <w:pPr>
              <w:ind w:right="179"/>
              <w:jc w:val="right"/>
            </w:pPr>
            <w:r>
              <w:t>175,768</w:t>
            </w:r>
          </w:p>
        </w:tc>
      </w:tr>
      <w:tr w:rsidR="00FE0E55" w:rsidRPr="00831D61" w14:paraId="0C2936DC" w14:textId="793DC833" w:rsidTr="00FE0E55">
        <w:trPr>
          <w:trHeight w:val="3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743BBE6E" w14:textId="77777777" w:rsidR="00FE0E55" w:rsidRPr="00831D61" w:rsidRDefault="00FE0E55" w:rsidP="00831D61">
            <w:r w:rsidRPr="00831D61">
              <w:rPr>
                <w:lang w:val="en-US"/>
              </w:rPr>
              <w:t>Cost of provision of services</w:t>
            </w:r>
            <w:r w:rsidRPr="00831D61">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761FEE69" w14:textId="77777777" w:rsidR="00FE0E55" w:rsidRPr="00831D61" w:rsidRDefault="00FE0E55" w:rsidP="00530352">
            <w:pPr>
              <w:jc w:val="right"/>
            </w:pPr>
            <w:r>
              <w:t>194,287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420A3844" w14:textId="77777777" w:rsidR="00FE0E55" w:rsidRPr="00831D61" w:rsidRDefault="00FE0E55" w:rsidP="00530352">
            <w:pPr>
              <w:jc w:val="right"/>
            </w:pPr>
            <w:r>
              <w:t>231,171</w:t>
            </w:r>
          </w:p>
        </w:tc>
        <w:tc>
          <w:tcPr>
            <w:tcW w:w="1417" w:type="dxa"/>
            <w:tcBorders>
              <w:top w:val="single" w:sz="8" w:space="0" w:color="000000"/>
              <w:left w:val="single" w:sz="8" w:space="0" w:color="000000"/>
              <w:bottom w:val="single" w:sz="8" w:space="0" w:color="000000"/>
              <w:right w:val="single" w:sz="8" w:space="0" w:color="000000"/>
            </w:tcBorders>
            <w:vAlign w:val="center"/>
          </w:tcPr>
          <w:p w14:paraId="1D1D67F0" w14:textId="77777777" w:rsidR="00FE0E55" w:rsidRDefault="00FE0E55" w:rsidP="00493FA1">
            <w:pPr>
              <w:ind w:right="179"/>
              <w:jc w:val="right"/>
            </w:pPr>
            <w:r>
              <w:t>282,841</w:t>
            </w:r>
          </w:p>
        </w:tc>
        <w:tc>
          <w:tcPr>
            <w:tcW w:w="1417" w:type="dxa"/>
            <w:tcBorders>
              <w:top w:val="single" w:sz="8" w:space="0" w:color="000000"/>
              <w:left w:val="single" w:sz="8" w:space="0" w:color="000000"/>
              <w:bottom w:val="single" w:sz="8" w:space="0" w:color="000000"/>
              <w:right w:val="single" w:sz="8" w:space="0" w:color="000000"/>
            </w:tcBorders>
            <w:vAlign w:val="center"/>
          </w:tcPr>
          <w:p w14:paraId="5236440A" w14:textId="6FF170F5" w:rsidR="00FE0E55" w:rsidRDefault="00FE0E55" w:rsidP="00FE0E55">
            <w:pPr>
              <w:ind w:right="179"/>
              <w:jc w:val="right"/>
            </w:pPr>
            <w:r>
              <w:t>267,336</w:t>
            </w:r>
          </w:p>
        </w:tc>
      </w:tr>
      <w:tr w:rsidR="00FE0E55" w:rsidRPr="00831D61" w14:paraId="73AACA45" w14:textId="06DD02B0" w:rsidTr="00FE0E55">
        <w:trPr>
          <w:trHeight w:val="3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242A5324" w14:textId="77777777" w:rsidR="00FE0E55" w:rsidRPr="00831D61" w:rsidRDefault="00FE0E55" w:rsidP="00831D61">
            <w:r w:rsidRPr="00831D61">
              <w:rPr>
                <w:lang w:val="en-US"/>
              </w:rPr>
              <w:t xml:space="preserve">Governance costs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341441BF" w14:textId="77777777" w:rsidR="00FE0E55" w:rsidRPr="00831D61" w:rsidRDefault="00FE0E55" w:rsidP="00530352">
            <w:pPr>
              <w:jc w:val="right"/>
            </w:pPr>
            <w:r>
              <w:t>1,200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082B14F5" w14:textId="77777777" w:rsidR="00FE0E55" w:rsidRPr="00831D61" w:rsidRDefault="00FE0E55" w:rsidP="00530352">
            <w:pPr>
              <w:jc w:val="right"/>
            </w:pPr>
            <w:r>
              <w:t>1,200</w:t>
            </w:r>
          </w:p>
        </w:tc>
        <w:tc>
          <w:tcPr>
            <w:tcW w:w="1417" w:type="dxa"/>
            <w:tcBorders>
              <w:top w:val="single" w:sz="8" w:space="0" w:color="000000"/>
              <w:left w:val="single" w:sz="8" w:space="0" w:color="000000"/>
              <w:bottom w:val="single" w:sz="8" w:space="0" w:color="000000"/>
              <w:right w:val="single" w:sz="8" w:space="0" w:color="000000"/>
            </w:tcBorders>
            <w:vAlign w:val="center"/>
          </w:tcPr>
          <w:p w14:paraId="77CFA2F0" w14:textId="77777777" w:rsidR="00FE0E55" w:rsidRDefault="00FE0E55" w:rsidP="00493FA1">
            <w:pPr>
              <w:ind w:right="179"/>
              <w:jc w:val="right"/>
            </w:pPr>
            <w:r>
              <w:t>1,200</w:t>
            </w:r>
          </w:p>
        </w:tc>
        <w:tc>
          <w:tcPr>
            <w:tcW w:w="1417" w:type="dxa"/>
            <w:tcBorders>
              <w:top w:val="single" w:sz="8" w:space="0" w:color="000000"/>
              <w:left w:val="single" w:sz="8" w:space="0" w:color="000000"/>
              <w:bottom w:val="single" w:sz="8" w:space="0" w:color="000000"/>
              <w:right w:val="single" w:sz="8" w:space="0" w:color="000000"/>
            </w:tcBorders>
            <w:vAlign w:val="center"/>
          </w:tcPr>
          <w:p w14:paraId="67BCBF40" w14:textId="499CA550" w:rsidR="00FE0E55" w:rsidRDefault="00FE0E55" w:rsidP="00FE0E55">
            <w:pPr>
              <w:ind w:right="179"/>
              <w:jc w:val="right"/>
            </w:pPr>
            <w:r>
              <w:t>1,200</w:t>
            </w:r>
          </w:p>
        </w:tc>
      </w:tr>
      <w:tr w:rsidR="00FE0E55" w:rsidRPr="00831D61" w14:paraId="17D093EA" w14:textId="4F01E59F" w:rsidTr="00FE0E55">
        <w:trPr>
          <w:trHeight w:val="524"/>
        </w:trPr>
        <w:tc>
          <w:tcPr>
            <w:tcW w:w="2835"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14:paraId="7A1EA748" w14:textId="77777777" w:rsidR="00FE0E55" w:rsidRPr="00831D61" w:rsidRDefault="00FE0E55" w:rsidP="00831D61">
            <w:r w:rsidRPr="00831D61">
              <w:rPr>
                <w:b/>
                <w:bCs/>
                <w:lang w:val="en-US"/>
              </w:rPr>
              <w:t xml:space="preserve">Total Expenditure </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18368F3D" w14:textId="77777777" w:rsidR="00FE0E55" w:rsidRPr="00530352" w:rsidRDefault="00FE0E55" w:rsidP="00530352">
            <w:pPr>
              <w:jc w:val="right"/>
              <w:rPr>
                <w:b/>
              </w:rPr>
            </w:pPr>
            <w:r w:rsidRPr="00530352">
              <w:rPr>
                <w:b/>
              </w:rPr>
              <w:t>£783,779</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0021DB0D" w14:textId="77777777" w:rsidR="00FE0E55" w:rsidRPr="00530352" w:rsidRDefault="00FE0E55" w:rsidP="00530352">
            <w:pPr>
              <w:jc w:val="right"/>
              <w:rPr>
                <w:b/>
              </w:rPr>
            </w:pPr>
            <w:r w:rsidRPr="00530352">
              <w:rPr>
                <w:b/>
              </w:rPr>
              <w:t>£811,264</w:t>
            </w:r>
          </w:p>
        </w:tc>
        <w:tc>
          <w:tcPr>
            <w:tcW w:w="1417"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2DDD2491" w14:textId="77777777" w:rsidR="00FE0E55" w:rsidRPr="00530352" w:rsidRDefault="00FE0E55" w:rsidP="00493FA1">
            <w:pPr>
              <w:ind w:right="179"/>
              <w:jc w:val="right"/>
              <w:rPr>
                <w:b/>
              </w:rPr>
            </w:pPr>
            <w:r>
              <w:rPr>
                <w:b/>
              </w:rPr>
              <w:t>£630,308</w:t>
            </w:r>
          </w:p>
        </w:tc>
        <w:tc>
          <w:tcPr>
            <w:tcW w:w="1417"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16D2E9C5" w14:textId="2661EC5A" w:rsidR="00FE0E55" w:rsidRDefault="00FE0E55" w:rsidP="00FE0E55">
            <w:pPr>
              <w:ind w:right="179"/>
              <w:jc w:val="right"/>
              <w:rPr>
                <w:b/>
              </w:rPr>
            </w:pPr>
            <w:r>
              <w:rPr>
                <w:b/>
              </w:rPr>
              <w:t>£444,304</w:t>
            </w:r>
          </w:p>
        </w:tc>
      </w:tr>
    </w:tbl>
    <w:p w14:paraId="37C73394" w14:textId="77777777" w:rsidR="00C97B0F" w:rsidRDefault="00C97B0F" w:rsidP="007656F7">
      <w:pPr>
        <w:spacing w:line="276" w:lineRule="auto"/>
        <w:jc w:val="both"/>
      </w:pPr>
    </w:p>
    <w:p w14:paraId="6D86FECE" w14:textId="77777777" w:rsidR="0042575D" w:rsidRDefault="007E3D61" w:rsidP="007656F7">
      <w:pPr>
        <w:spacing w:line="276" w:lineRule="auto"/>
        <w:jc w:val="both"/>
      </w:pPr>
      <w:r>
        <w:t xml:space="preserve">The organisation </w:t>
      </w:r>
      <w:r w:rsidR="00530352">
        <w:t xml:space="preserve">shows a </w:t>
      </w:r>
      <w:r w:rsidR="00FE0E55">
        <w:t xml:space="preserve">small </w:t>
      </w:r>
      <w:r w:rsidR="00530352">
        <w:t>deficit</w:t>
      </w:r>
      <w:r w:rsidR="00EE2F3C">
        <w:t xml:space="preserve"> of £</w:t>
      </w:r>
      <w:r w:rsidR="00FE0E55">
        <w:t>2,530</w:t>
      </w:r>
      <w:r w:rsidR="00EE2F3C">
        <w:t xml:space="preserve"> during the year against a </w:t>
      </w:r>
      <w:r w:rsidR="004C35CB">
        <w:t>deficit</w:t>
      </w:r>
      <w:r w:rsidR="00831D61">
        <w:t xml:space="preserve"> of £</w:t>
      </w:r>
      <w:r w:rsidR="00FE0E55">
        <w:t>44,484</w:t>
      </w:r>
      <w:r w:rsidR="00EE2F3C">
        <w:t xml:space="preserve"> </w:t>
      </w:r>
    </w:p>
    <w:p w14:paraId="701277C0" w14:textId="1189C63E" w:rsidR="00EE2F3C" w:rsidRDefault="00EE2F3C" w:rsidP="007656F7">
      <w:pPr>
        <w:spacing w:line="276" w:lineRule="auto"/>
        <w:jc w:val="both"/>
      </w:pPr>
      <w:r>
        <w:t xml:space="preserve">in </w:t>
      </w:r>
      <w:r w:rsidR="004C35CB">
        <w:t>2017</w:t>
      </w:r>
      <w:r w:rsidR="00FE0E55">
        <w:t>-18</w:t>
      </w:r>
      <w:r w:rsidR="00831D61">
        <w:t xml:space="preserve">. </w:t>
      </w:r>
    </w:p>
    <w:p w14:paraId="0F88E96E" w14:textId="77777777" w:rsidR="004C065F" w:rsidRDefault="004C065F" w:rsidP="007656F7">
      <w:pPr>
        <w:spacing w:line="276" w:lineRule="auto"/>
        <w:jc w:val="both"/>
        <w:rPr>
          <w:sz w:val="12"/>
        </w:rPr>
      </w:pPr>
    </w:p>
    <w:p w14:paraId="126FCB00" w14:textId="77777777" w:rsidR="005F6623" w:rsidRDefault="005F6623" w:rsidP="007656F7">
      <w:pPr>
        <w:spacing w:line="276" w:lineRule="auto"/>
        <w:jc w:val="both"/>
        <w:rPr>
          <w:sz w:val="12"/>
        </w:rPr>
      </w:pPr>
    </w:p>
    <w:p w14:paraId="65CB6EA7" w14:textId="77777777" w:rsidR="00BB39EB" w:rsidRDefault="00BB39EB" w:rsidP="007656F7">
      <w:pPr>
        <w:spacing w:line="276" w:lineRule="auto"/>
        <w:jc w:val="both"/>
        <w:rPr>
          <w:sz w:val="12"/>
        </w:rPr>
      </w:pPr>
    </w:p>
    <w:p w14:paraId="4860EA96" w14:textId="77777777" w:rsidR="00BB39EB" w:rsidRDefault="00BB39EB" w:rsidP="007656F7">
      <w:pPr>
        <w:spacing w:line="276" w:lineRule="auto"/>
        <w:jc w:val="both"/>
        <w:rPr>
          <w:sz w:val="12"/>
        </w:rPr>
      </w:pPr>
    </w:p>
    <w:p w14:paraId="4914683D" w14:textId="77777777" w:rsidR="00BB39EB" w:rsidRDefault="00BB39EB" w:rsidP="007656F7">
      <w:pPr>
        <w:spacing w:line="276" w:lineRule="auto"/>
        <w:jc w:val="both"/>
        <w:rPr>
          <w:sz w:val="12"/>
        </w:rPr>
      </w:pPr>
    </w:p>
    <w:p w14:paraId="15F40E49" w14:textId="77777777" w:rsidR="006A5162" w:rsidRDefault="006A5162" w:rsidP="009E3944">
      <w:pPr>
        <w:spacing w:line="276" w:lineRule="auto"/>
        <w:jc w:val="both"/>
      </w:pPr>
      <w:r>
        <w:t xml:space="preserve">The following table shows the breakdown of reserves for the past </w:t>
      </w:r>
      <w:r w:rsidR="00F44471">
        <w:t>five</w:t>
      </w:r>
      <w:r>
        <w:t xml:space="preserve"> years.</w:t>
      </w:r>
    </w:p>
    <w:p w14:paraId="4ED4C456" w14:textId="77777777" w:rsidR="006F0B9F" w:rsidRPr="00EE513A" w:rsidRDefault="006F0B9F" w:rsidP="007656F7">
      <w:pPr>
        <w:spacing w:line="276" w:lineRule="auto"/>
        <w:jc w:val="both"/>
        <w:rPr>
          <w:b/>
          <w:sz w:val="12"/>
        </w:rPr>
      </w:pPr>
    </w:p>
    <w:p w14:paraId="537CEB76" w14:textId="77777777" w:rsidR="006A5162" w:rsidRPr="004C065F" w:rsidRDefault="004C065F" w:rsidP="007656F7">
      <w:pPr>
        <w:spacing w:line="276" w:lineRule="auto"/>
        <w:jc w:val="both"/>
        <w:rPr>
          <w:b/>
          <w:sz w:val="24"/>
        </w:rPr>
      </w:pPr>
      <w:r w:rsidRPr="004C065F">
        <w:rPr>
          <w:b/>
          <w:sz w:val="24"/>
        </w:rPr>
        <w:t>Reserves</w:t>
      </w:r>
    </w:p>
    <w:tbl>
      <w:tblPr>
        <w:tblW w:w="9126" w:type="dxa"/>
        <w:tblCellMar>
          <w:left w:w="0" w:type="dxa"/>
          <w:right w:w="0" w:type="dxa"/>
        </w:tblCellMar>
        <w:tblLook w:val="04A0" w:firstRow="1" w:lastRow="0" w:firstColumn="1" w:lastColumn="0" w:noHBand="0" w:noVBand="1"/>
      </w:tblPr>
      <w:tblGrid>
        <w:gridCol w:w="2041"/>
        <w:gridCol w:w="1417"/>
        <w:gridCol w:w="1417"/>
        <w:gridCol w:w="1417"/>
        <w:gridCol w:w="1417"/>
        <w:gridCol w:w="1417"/>
      </w:tblGrid>
      <w:tr w:rsidR="00933DCF" w:rsidRPr="00F44471" w14:paraId="38BF74A2" w14:textId="643EEA52" w:rsidTr="00933DCF">
        <w:trPr>
          <w:trHeight w:val="536"/>
        </w:trPr>
        <w:tc>
          <w:tcPr>
            <w:tcW w:w="2041"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14:paraId="7A61EDFF" w14:textId="77777777" w:rsidR="00933DCF" w:rsidRPr="00F44471" w:rsidRDefault="00933DCF" w:rsidP="00F44471">
            <w:pPr>
              <w:spacing w:line="276" w:lineRule="auto"/>
              <w:jc w:val="both"/>
              <w:rPr>
                <w:b/>
              </w:rPr>
            </w:pP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tcPr>
          <w:p w14:paraId="4CE9D9F4" w14:textId="77777777" w:rsidR="00933DCF" w:rsidRPr="00F44471" w:rsidRDefault="00933DCF" w:rsidP="006F0B9F">
            <w:pPr>
              <w:spacing w:line="276" w:lineRule="auto"/>
              <w:jc w:val="center"/>
              <w:rPr>
                <w:b/>
              </w:rPr>
            </w:pPr>
            <w:r>
              <w:rPr>
                <w:b/>
              </w:rPr>
              <w:t>2014-15</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tcPr>
          <w:p w14:paraId="425B3AE9" w14:textId="77777777" w:rsidR="00933DCF" w:rsidRPr="00F44471" w:rsidRDefault="00933DCF" w:rsidP="006F0B9F">
            <w:pPr>
              <w:spacing w:line="276" w:lineRule="auto"/>
              <w:jc w:val="center"/>
              <w:rPr>
                <w:b/>
              </w:rPr>
            </w:pPr>
            <w:r>
              <w:rPr>
                <w:b/>
              </w:rPr>
              <w:t>2015-16</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tcPr>
          <w:p w14:paraId="40EFCB3F" w14:textId="77777777" w:rsidR="00933DCF" w:rsidRPr="00F44471" w:rsidRDefault="00933DCF" w:rsidP="006F0B9F">
            <w:pPr>
              <w:spacing w:line="276" w:lineRule="auto"/>
              <w:jc w:val="center"/>
              <w:rPr>
                <w:b/>
              </w:rPr>
            </w:pPr>
            <w:r>
              <w:rPr>
                <w:b/>
              </w:rPr>
              <w:t>2016-17</w:t>
            </w:r>
          </w:p>
        </w:tc>
        <w:tc>
          <w:tcPr>
            <w:tcW w:w="1417"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4A54F81E" w14:textId="77777777" w:rsidR="00933DCF" w:rsidRDefault="00933DCF" w:rsidP="00050B34">
            <w:pPr>
              <w:spacing w:line="276" w:lineRule="auto"/>
              <w:ind w:right="242"/>
              <w:jc w:val="center"/>
              <w:rPr>
                <w:b/>
              </w:rPr>
            </w:pPr>
            <w:r>
              <w:rPr>
                <w:b/>
              </w:rPr>
              <w:t>2017-18</w:t>
            </w:r>
          </w:p>
        </w:tc>
        <w:tc>
          <w:tcPr>
            <w:tcW w:w="1417"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5CB02FD1" w14:textId="0FE3FFD6" w:rsidR="00933DCF" w:rsidRDefault="00933DCF" w:rsidP="00933DCF">
            <w:pPr>
              <w:spacing w:line="276" w:lineRule="auto"/>
              <w:ind w:right="242"/>
              <w:jc w:val="center"/>
              <w:rPr>
                <w:b/>
              </w:rPr>
            </w:pPr>
            <w:r>
              <w:rPr>
                <w:b/>
              </w:rPr>
              <w:t>2018-19</w:t>
            </w:r>
          </w:p>
        </w:tc>
      </w:tr>
      <w:tr w:rsidR="00933DCF" w:rsidRPr="00F44471" w14:paraId="666460CE" w14:textId="6E275192" w:rsidTr="00933DCF">
        <w:trPr>
          <w:trHeight w:val="400"/>
        </w:trPr>
        <w:tc>
          <w:tcPr>
            <w:tcW w:w="204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23EA4D9C" w14:textId="77777777" w:rsidR="00933DCF" w:rsidRPr="00F44471" w:rsidRDefault="00933DCF" w:rsidP="00F44471">
            <w:pPr>
              <w:spacing w:line="276" w:lineRule="auto"/>
              <w:jc w:val="both"/>
              <w:rPr>
                <w:b/>
              </w:rPr>
            </w:pPr>
            <w:r w:rsidRPr="00F44471">
              <w:rPr>
                <w:b/>
                <w:lang w:val="en-US"/>
              </w:rPr>
              <w:t>Income</w:t>
            </w:r>
            <w:r w:rsidRPr="00F44471">
              <w:rPr>
                <w:b/>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754561D5" w14:textId="77777777" w:rsidR="00933DCF" w:rsidRPr="00F44471" w:rsidRDefault="00933DCF" w:rsidP="006F0B9F">
            <w:pPr>
              <w:spacing w:line="276" w:lineRule="auto"/>
              <w:jc w:val="right"/>
              <w:rPr>
                <w:b/>
              </w:rPr>
            </w:pPr>
            <w:r>
              <w:rPr>
                <w:b/>
              </w:rPr>
              <w:t>305,750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01C72331" w14:textId="77777777" w:rsidR="00933DCF" w:rsidRPr="00F44471" w:rsidRDefault="00933DCF" w:rsidP="006F0B9F">
            <w:pPr>
              <w:spacing w:line="276" w:lineRule="auto"/>
              <w:jc w:val="right"/>
              <w:rPr>
                <w:b/>
              </w:rPr>
            </w:pPr>
            <w:r>
              <w:rPr>
                <w:b/>
              </w:rPr>
              <w:t>995,063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4F9DB730" w14:textId="77777777" w:rsidR="00933DCF" w:rsidRPr="00F44471" w:rsidRDefault="00933DCF" w:rsidP="006F0B9F">
            <w:pPr>
              <w:spacing w:line="276" w:lineRule="auto"/>
              <w:jc w:val="right"/>
              <w:rPr>
                <w:b/>
              </w:rPr>
            </w:pPr>
            <w:r>
              <w:rPr>
                <w:b/>
              </w:rPr>
              <w:t>797,893</w:t>
            </w:r>
          </w:p>
        </w:tc>
        <w:tc>
          <w:tcPr>
            <w:tcW w:w="1417" w:type="dxa"/>
            <w:tcBorders>
              <w:top w:val="single" w:sz="8" w:space="0" w:color="000000"/>
              <w:left w:val="single" w:sz="8" w:space="0" w:color="000000"/>
              <w:bottom w:val="single" w:sz="8" w:space="0" w:color="000000"/>
              <w:right w:val="single" w:sz="8" w:space="0" w:color="000000"/>
            </w:tcBorders>
            <w:vAlign w:val="center"/>
          </w:tcPr>
          <w:p w14:paraId="7089829B" w14:textId="77777777" w:rsidR="00933DCF" w:rsidRDefault="00933DCF" w:rsidP="00050B34">
            <w:pPr>
              <w:spacing w:line="276" w:lineRule="auto"/>
              <w:ind w:right="242"/>
              <w:jc w:val="right"/>
              <w:rPr>
                <w:b/>
              </w:rPr>
            </w:pPr>
            <w:r>
              <w:rPr>
                <w:b/>
              </w:rPr>
              <w:t>585,824</w:t>
            </w:r>
          </w:p>
        </w:tc>
        <w:tc>
          <w:tcPr>
            <w:tcW w:w="1417" w:type="dxa"/>
            <w:tcBorders>
              <w:top w:val="single" w:sz="8" w:space="0" w:color="000000"/>
              <w:left w:val="single" w:sz="8" w:space="0" w:color="000000"/>
              <w:bottom w:val="single" w:sz="8" w:space="0" w:color="000000"/>
              <w:right w:val="single" w:sz="8" w:space="0" w:color="000000"/>
            </w:tcBorders>
            <w:vAlign w:val="center"/>
          </w:tcPr>
          <w:p w14:paraId="75713669" w14:textId="787D0DA7" w:rsidR="00933DCF" w:rsidRDefault="00933DCF" w:rsidP="00933DCF">
            <w:pPr>
              <w:spacing w:line="276" w:lineRule="auto"/>
              <w:ind w:right="242"/>
              <w:jc w:val="right"/>
              <w:rPr>
                <w:b/>
              </w:rPr>
            </w:pPr>
            <w:r>
              <w:rPr>
                <w:b/>
              </w:rPr>
              <w:t>441,774</w:t>
            </w:r>
          </w:p>
        </w:tc>
      </w:tr>
      <w:tr w:rsidR="00933DCF" w:rsidRPr="00F44471" w14:paraId="5F8A623F" w14:textId="13415B66" w:rsidTr="00933DCF">
        <w:trPr>
          <w:trHeight w:val="394"/>
        </w:trPr>
        <w:tc>
          <w:tcPr>
            <w:tcW w:w="2041"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14:paraId="33E29947" w14:textId="77777777" w:rsidR="00933DCF" w:rsidRPr="00F44471" w:rsidRDefault="00933DCF" w:rsidP="00F44471">
            <w:pPr>
              <w:spacing w:line="276" w:lineRule="auto"/>
              <w:jc w:val="both"/>
              <w:rPr>
                <w:b/>
              </w:rPr>
            </w:pPr>
            <w:r w:rsidRPr="00F44471">
              <w:rPr>
                <w:b/>
                <w:lang w:val="en-US"/>
              </w:rPr>
              <w:t>Expenditure</w:t>
            </w:r>
            <w:r w:rsidRPr="00F44471">
              <w:rPr>
                <w:b/>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19BC74D5" w14:textId="77777777" w:rsidR="00933DCF" w:rsidRPr="00F44471" w:rsidRDefault="00933DCF" w:rsidP="006F0B9F">
            <w:pPr>
              <w:spacing w:line="276" w:lineRule="auto"/>
              <w:jc w:val="right"/>
              <w:rPr>
                <w:b/>
              </w:rPr>
            </w:pPr>
            <w:r>
              <w:rPr>
                <w:b/>
              </w:rPr>
              <w:t>272,704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6DDAE099" w14:textId="77777777" w:rsidR="00933DCF" w:rsidRPr="00F44471" w:rsidRDefault="00933DCF" w:rsidP="006F0B9F">
            <w:pPr>
              <w:spacing w:line="276" w:lineRule="auto"/>
              <w:jc w:val="right"/>
              <w:rPr>
                <w:b/>
              </w:rPr>
            </w:pPr>
            <w:r>
              <w:rPr>
                <w:b/>
              </w:rPr>
              <w:t>783,779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tcPr>
          <w:p w14:paraId="00E749E4" w14:textId="77777777" w:rsidR="00933DCF" w:rsidRPr="00F44471" w:rsidRDefault="00933DCF" w:rsidP="006F0B9F">
            <w:pPr>
              <w:spacing w:line="276" w:lineRule="auto"/>
              <w:jc w:val="right"/>
              <w:rPr>
                <w:b/>
              </w:rPr>
            </w:pPr>
            <w:r>
              <w:rPr>
                <w:b/>
              </w:rPr>
              <w:t>811,264</w:t>
            </w:r>
          </w:p>
        </w:tc>
        <w:tc>
          <w:tcPr>
            <w:tcW w:w="1417" w:type="dxa"/>
            <w:tcBorders>
              <w:top w:val="single" w:sz="8" w:space="0" w:color="000000"/>
              <w:left w:val="single" w:sz="8" w:space="0" w:color="000000"/>
              <w:bottom w:val="single" w:sz="8" w:space="0" w:color="000000"/>
              <w:right w:val="single" w:sz="8" w:space="0" w:color="000000"/>
            </w:tcBorders>
            <w:vAlign w:val="center"/>
          </w:tcPr>
          <w:p w14:paraId="440A707E" w14:textId="77777777" w:rsidR="00933DCF" w:rsidRDefault="00933DCF" w:rsidP="00050B34">
            <w:pPr>
              <w:spacing w:line="276" w:lineRule="auto"/>
              <w:ind w:right="242"/>
              <w:jc w:val="right"/>
              <w:rPr>
                <w:b/>
              </w:rPr>
            </w:pPr>
            <w:r>
              <w:rPr>
                <w:b/>
              </w:rPr>
              <w:t>630,308</w:t>
            </w:r>
          </w:p>
        </w:tc>
        <w:tc>
          <w:tcPr>
            <w:tcW w:w="1417" w:type="dxa"/>
            <w:tcBorders>
              <w:top w:val="single" w:sz="8" w:space="0" w:color="000000"/>
              <w:left w:val="single" w:sz="8" w:space="0" w:color="000000"/>
              <w:bottom w:val="single" w:sz="8" w:space="0" w:color="000000"/>
              <w:right w:val="single" w:sz="8" w:space="0" w:color="000000"/>
            </w:tcBorders>
            <w:vAlign w:val="center"/>
          </w:tcPr>
          <w:p w14:paraId="4D5C1845" w14:textId="6726CCD6" w:rsidR="00933DCF" w:rsidRDefault="00933DCF" w:rsidP="00933DCF">
            <w:pPr>
              <w:spacing w:line="276" w:lineRule="auto"/>
              <w:ind w:right="242"/>
              <w:jc w:val="right"/>
              <w:rPr>
                <w:b/>
              </w:rPr>
            </w:pPr>
            <w:r>
              <w:rPr>
                <w:b/>
              </w:rPr>
              <w:t>444,304</w:t>
            </w:r>
          </w:p>
        </w:tc>
      </w:tr>
      <w:tr w:rsidR="00933DCF" w:rsidRPr="00F44471" w14:paraId="43BFDC87" w14:textId="611BDC17" w:rsidTr="00933DCF">
        <w:trPr>
          <w:trHeight w:val="387"/>
        </w:trPr>
        <w:tc>
          <w:tcPr>
            <w:tcW w:w="2041"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14:paraId="5AE7F356" w14:textId="77777777" w:rsidR="00933DCF" w:rsidRPr="00F44471" w:rsidRDefault="00933DCF" w:rsidP="00F44471">
            <w:pPr>
              <w:spacing w:line="276" w:lineRule="auto"/>
              <w:jc w:val="both"/>
              <w:rPr>
                <w:b/>
              </w:rPr>
            </w:pPr>
            <w:r w:rsidRPr="00F44471">
              <w:rPr>
                <w:b/>
                <w:lang w:val="en-US"/>
              </w:rPr>
              <w:t>Surplus /deficit</w:t>
            </w:r>
            <w:r w:rsidRPr="00F44471">
              <w:rPr>
                <w:b/>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tcPr>
          <w:p w14:paraId="322D1D98" w14:textId="77777777" w:rsidR="00933DCF" w:rsidRPr="00F44471" w:rsidRDefault="00933DCF" w:rsidP="006F0B9F">
            <w:pPr>
              <w:spacing w:line="276" w:lineRule="auto"/>
              <w:jc w:val="right"/>
              <w:rPr>
                <w:b/>
              </w:rPr>
            </w:pPr>
            <w:r>
              <w:rPr>
                <w:b/>
              </w:rPr>
              <w:t>£33,046</w:t>
            </w:r>
          </w:p>
        </w:tc>
        <w:tc>
          <w:tcPr>
            <w:tcW w:w="141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tcPr>
          <w:p w14:paraId="07D51AC7" w14:textId="77777777" w:rsidR="00933DCF" w:rsidRPr="00F44471" w:rsidRDefault="00933DCF" w:rsidP="006F0B9F">
            <w:pPr>
              <w:spacing w:line="276" w:lineRule="auto"/>
              <w:jc w:val="right"/>
              <w:rPr>
                <w:b/>
              </w:rPr>
            </w:pPr>
            <w:r>
              <w:rPr>
                <w:b/>
              </w:rPr>
              <w:t>£211,284</w:t>
            </w:r>
          </w:p>
        </w:tc>
        <w:tc>
          <w:tcPr>
            <w:tcW w:w="141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tcPr>
          <w:p w14:paraId="1570ED82" w14:textId="77777777" w:rsidR="00933DCF" w:rsidRPr="00F44471" w:rsidRDefault="00933DCF" w:rsidP="006F0B9F">
            <w:pPr>
              <w:spacing w:line="276" w:lineRule="auto"/>
              <w:jc w:val="right"/>
              <w:rPr>
                <w:b/>
              </w:rPr>
            </w:pPr>
            <w:r>
              <w:rPr>
                <w:b/>
              </w:rPr>
              <w:t>(£13,371)</w:t>
            </w:r>
          </w:p>
        </w:tc>
        <w:tc>
          <w:tcPr>
            <w:tcW w:w="1417" w:type="dxa"/>
            <w:tcBorders>
              <w:top w:val="single" w:sz="8" w:space="0" w:color="000000"/>
              <w:left w:val="single" w:sz="8" w:space="0" w:color="000000"/>
              <w:bottom w:val="single" w:sz="8" w:space="0" w:color="000000"/>
              <w:right w:val="single" w:sz="8" w:space="0" w:color="000000"/>
            </w:tcBorders>
            <w:shd w:val="clear" w:color="auto" w:fill="D6E3BC"/>
            <w:vAlign w:val="center"/>
          </w:tcPr>
          <w:p w14:paraId="285443F5" w14:textId="77777777" w:rsidR="00933DCF" w:rsidRDefault="00933DCF" w:rsidP="00050B34">
            <w:pPr>
              <w:spacing w:line="276" w:lineRule="auto"/>
              <w:ind w:right="242"/>
              <w:jc w:val="right"/>
              <w:rPr>
                <w:b/>
              </w:rPr>
            </w:pPr>
            <w:r>
              <w:rPr>
                <w:b/>
              </w:rPr>
              <w:t>(44,484)</w:t>
            </w:r>
          </w:p>
        </w:tc>
        <w:tc>
          <w:tcPr>
            <w:tcW w:w="1417" w:type="dxa"/>
            <w:tcBorders>
              <w:top w:val="single" w:sz="8" w:space="0" w:color="000000"/>
              <w:left w:val="single" w:sz="8" w:space="0" w:color="000000"/>
              <w:bottom w:val="single" w:sz="8" w:space="0" w:color="000000"/>
              <w:right w:val="single" w:sz="8" w:space="0" w:color="000000"/>
            </w:tcBorders>
            <w:shd w:val="clear" w:color="auto" w:fill="D6E3BC"/>
            <w:vAlign w:val="center"/>
          </w:tcPr>
          <w:p w14:paraId="04D75412" w14:textId="1FF25CAA" w:rsidR="00933DCF" w:rsidRDefault="00933DCF" w:rsidP="00933DCF">
            <w:pPr>
              <w:spacing w:line="276" w:lineRule="auto"/>
              <w:ind w:right="242"/>
              <w:jc w:val="right"/>
              <w:rPr>
                <w:b/>
              </w:rPr>
            </w:pPr>
            <w:r>
              <w:rPr>
                <w:b/>
              </w:rPr>
              <w:t>(2,530)</w:t>
            </w:r>
          </w:p>
        </w:tc>
      </w:tr>
      <w:tr w:rsidR="00933DCF" w:rsidRPr="00F44471" w14:paraId="5EFADABC" w14:textId="53C0F7BA" w:rsidTr="00933DCF">
        <w:trPr>
          <w:trHeight w:val="526"/>
        </w:trPr>
        <w:tc>
          <w:tcPr>
            <w:tcW w:w="2041"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14:paraId="327C0EAC" w14:textId="77777777" w:rsidR="00933DCF" w:rsidRPr="00F44471" w:rsidRDefault="00933DCF" w:rsidP="00F44471">
            <w:pPr>
              <w:spacing w:line="276" w:lineRule="auto"/>
              <w:jc w:val="both"/>
              <w:rPr>
                <w:b/>
              </w:rPr>
            </w:pPr>
            <w:r w:rsidRPr="00F44471">
              <w:rPr>
                <w:b/>
                <w:bCs/>
                <w:lang w:val="en-US"/>
              </w:rPr>
              <w:t>ASDC reserves</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5B123433" w14:textId="77777777" w:rsidR="00933DCF" w:rsidRPr="00F44471" w:rsidRDefault="00933DCF" w:rsidP="006F0B9F">
            <w:pPr>
              <w:spacing w:line="276" w:lineRule="auto"/>
              <w:jc w:val="right"/>
              <w:rPr>
                <w:b/>
              </w:rPr>
            </w:pPr>
            <w:r>
              <w:rPr>
                <w:b/>
              </w:rPr>
              <w:t>£161,354</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64697552" w14:textId="77777777" w:rsidR="00933DCF" w:rsidRPr="00F44471" w:rsidRDefault="00933DCF" w:rsidP="006F0B9F">
            <w:pPr>
              <w:spacing w:line="276" w:lineRule="auto"/>
              <w:jc w:val="right"/>
              <w:rPr>
                <w:b/>
              </w:rPr>
            </w:pPr>
            <w:r>
              <w:rPr>
                <w:b/>
              </w:rPr>
              <w:t>£372,638</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tcPr>
          <w:p w14:paraId="3CC6C11A" w14:textId="19FC900F" w:rsidR="00933DCF" w:rsidRPr="00F44471" w:rsidRDefault="00933DCF" w:rsidP="006F0B9F">
            <w:pPr>
              <w:spacing w:line="276" w:lineRule="auto"/>
              <w:jc w:val="right"/>
              <w:rPr>
                <w:b/>
              </w:rPr>
            </w:pPr>
            <w:r>
              <w:rPr>
                <w:b/>
              </w:rPr>
              <w:t>£359,267</w:t>
            </w:r>
          </w:p>
        </w:tc>
        <w:tc>
          <w:tcPr>
            <w:tcW w:w="1417"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2FEAD505" w14:textId="2FD9A838" w:rsidR="00933DCF" w:rsidRDefault="00933DCF" w:rsidP="00050B34">
            <w:pPr>
              <w:spacing w:line="276" w:lineRule="auto"/>
              <w:ind w:right="242"/>
              <w:jc w:val="right"/>
              <w:rPr>
                <w:b/>
              </w:rPr>
            </w:pPr>
            <w:r>
              <w:rPr>
                <w:b/>
              </w:rPr>
              <w:t>£314,783</w:t>
            </w:r>
          </w:p>
        </w:tc>
        <w:tc>
          <w:tcPr>
            <w:tcW w:w="1417"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2CEC7576" w14:textId="092F416E" w:rsidR="00933DCF" w:rsidRDefault="00933DCF" w:rsidP="00933DCF">
            <w:pPr>
              <w:spacing w:line="276" w:lineRule="auto"/>
              <w:ind w:right="242"/>
              <w:jc w:val="right"/>
              <w:rPr>
                <w:b/>
              </w:rPr>
            </w:pPr>
            <w:r>
              <w:rPr>
                <w:b/>
              </w:rPr>
              <w:t>*£312,253</w:t>
            </w:r>
          </w:p>
        </w:tc>
      </w:tr>
    </w:tbl>
    <w:p w14:paraId="58A647CB" w14:textId="0D71947D" w:rsidR="00F44471" w:rsidRPr="00EE513A" w:rsidRDefault="00EE513A" w:rsidP="007656F7">
      <w:pPr>
        <w:spacing w:line="276" w:lineRule="auto"/>
        <w:jc w:val="both"/>
      </w:pPr>
      <w:r w:rsidRPr="00EE513A">
        <w:t xml:space="preserve">* As detailed in the full accounts </w:t>
      </w:r>
      <w:r>
        <w:t xml:space="preserve">the total reserves figure is </w:t>
      </w:r>
      <w:r w:rsidR="00933DCF">
        <w:t>all</w:t>
      </w:r>
      <w:r>
        <w:t xml:space="preserve"> unrestricted reserves</w:t>
      </w:r>
    </w:p>
    <w:p w14:paraId="7E1D2D5B" w14:textId="77777777" w:rsidR="00EE513A" w:rsidRDefault="00EE513A" w:rsidP="007656F7">
      <w:pPr>
        <w:spacing w:line="276" w:lineRule="auto"/>
        <w:jc w:val="both"/>
        <w:rPr>
          <w:b/>
          <w:sz w:val="24"/>
        </w:rPr>
      </w:pPr>
    </w:p>
    <w:p w14:paraId="4061EA81" w14:textId="77777777" w:rsidR="007656F7" w:rsidRPr="00C97B0F" w:rsidRDefault="007656F7" w:rsidP="007656F7">
      <w:pPr>
        <w:spacing w:line="276" w:lineRule="auto"/>
        <w:jc w:val="both"/>
        <w:rPr>
          <w:b/>
          <w:sz w:val="24"/>
        </w:rPr>
      </w:pPr>
      <w:r w:rsidRPr="00C97B0F">
        <w:rPr>
          <w:b/>
          <w:sz w:val="24"/>
        </w:rPr>
        <w:t>Financial overview</w:t>
      </w:r>
    </w:p>
    <w:p w14:paraId="73B34640" w14:textId="06D001DA" w:rsidR="004D6939" w:rsidRDefault="00933DCF" w:rsidP="007656F7">
      <w:pPr>
        <w:spacing w:line="276" w:lineRule="auto"/>
        <w:jc w:val="both"/>
      </w:pPr>
      <w:bookmarkStart w:id="0" w:name="_GoBack"/>
      <w:r>
        <w:t>As in previous years, the i</w:t>
      </w:r>
      <w:r w:rsidR="006F0B9F">
        <w:t xml:space="preserve">ncome from projects has </w:t>
      </w:r>
      <w:r>
        <w:t>been a large percentage of the total income</w:t>
      </w:r>
      <w:r w:rsidR="00611F4C">
        <w:t xml:space="preserve"> with ASDC continuing to be successful in securing funding for National STEM Programmes.</w:t>
      </w:r>
      <w:r w:rsidR="004C065F">
        <w:t xml:space="preserve"> </w:t>
      </w:r>
      <w:r>
        <w:t xml:space="preserve">At the end of the financial year only </w:t>
      </w:r>
      <w:r w:rsidR="004D6939">
        <w:t>three</w:t>
      </w:r>
      <w:r>
        <w:t xml:space="preserve"> projects were </w:t>
      </w:r>
      <w:r w:rsidR="004D6939">
        <w:t>continuing into the new financial year</w:t>
      </w:r>
      <w:r w:rsidR="0042575D">
        <w:t>,</w:t>
      </w:r>
      <w:r w:rsidR="004D6939">
        <w:t xml:space="preserve"> </w:t>
      </w:r>
      <w:r>
        <w:t xml:space="preserve">following completion of </w:t>
      </w:r>
      <w:r w:rsidR="004D6939">
        <w:t xml:space="preserve">several </w:t>
      </w:r>
      <w:r>
        <w:t>towards the end of the financial year</w:t>
      </w:r>
      <w:r w:rsidR="004D6939">
        <w:t xml:space="preserve"> under review</w:t>
      </w:r>
      <w:r>
        <w:t>, including both EU projects that the organisation was involved with.</w:t>
      </w:r>
      <w:r w:rsidR="006F0B9F">
        <w:t xml:space="preserve"> </w:t>
      </w:r>
    </w:p>
    <w:bookmarkEnd w:id="0"/>
    <w:p w14:paraId="38B16A60" w14:textId="77777777" w:rsidR="004D6939" w:rsidRDefault="004D6939" w:rsidP="007656F7">
      <w:pPr>
        <w:spacing w:line="276" w:lineRule="auto"/>
        <w:jc w:val="both"/>
      </w:pPr>
    </w:p>
    <w:p w14:paraId="746A0CED" w14:textId="77777777" w:rsidR="004D6939" w:rsidRDefault="006F0B9F" w:rsidP="007656F7">
      <w:pPr>
        <w:spacing w:line="276" w:lineRule="auto"/>
        <w:jc w:val="both"/>
      </w:pPr>
      <w:r>
        <w:t xml:space="preserve">The organisation </w:t>
      </w:r>
      <w:r w:rsidR="004D6939">
        <w:t xml:space="preserve">continues </w:t>
      </w:r>
      <w:r>
        <w:t xml:space="preserve">to maintain a reasonable balance of unrestricted reserves. </w:t>
      </w:r>
    </w:p>
    <w:p w14:paraId="55F6D5B7" w14:textId="77777777" w:rsidR="004D6939" w:rsidRDefault="004D6939" w:rsidP="007656F7">
      <w:pPr>
        <w:spacing w:line="276" w:lineRule="auto"/>
        <w:jc w:val="both"/>
      </w:pPr>
    </w:p>
    <w:p w14:paraId="034B14A3" w14:textId="237EE3D3" w:rsidR="009E3944" w:rsidRDefault="009E3944" w:rsidP="007656F7">
      <w:pPr>
        <w:spacing w:line="276" w:lineRule="auto"/>
        <w:jc w:val="both"/>
      </w:pPr>
      <w:r>
        <w:t>The Board regularly monitor</w:t>
      </w:r>
      <w:r w:rsidR="00C97B0F">
        <w:t>s</w:t>
      </w:r>
      <w:r>
        <w:t xml:space="preserve"> the level of uncommitted reserves to ensure that the organisation can continue to operate </w:t>
      </w:r>
      <w:r w:rsidR="00C97B0F">
        <w:t xml:space="preserve">effectively </w:t>
      </w:r>
      <w:r>
        <w:t>for the foreseeable future.</w:t>
      </w:r>
    </w:p>
    <w:p w14:paraId="72637459" w14:textId="77777777" w:rsidR="007656F7" w:rsidRDefault="007656F7" w:rsidP="007656F7">
      <w:pPr>
        <w:spacing w:line="276" w:lineRule="auto"/>
        <w:jc w:val="both"/>
      </w:pPr>
    </w:p>
    <w:p w14:paraId="6C7370F2" w14:textId="77777777" w:rsidR="007656F7" w:rsidRPr="00C97B0F" w:rsidRDefault="007656F7" w:rsidP="007656F7">
      <w:pPr>
        <w:spacing w:line="276" w:lineRule="auto"/>
        <w:jc w:val="both"/>
        <w:rPr>
          <w:b/>
          <w:sz w:val="24"/>
        </w:rPr>
      </w:pPr>
      <w:r w:rsidRPr="00C97B0F">
        <w:rPr>
          <w:b/>
          <w:sz w:val="24"/>
        </w:rPr>
        <w:t>Thanks</w:t>
      </w:r>
    </w:p>
    <w:p w14:paraId="23C0D300" w14:textId="77777777" w:rsidR="007656F7" w:rsidRDefault="007656F7" w:rsidP="007656F7">
      <w:pPr>
        <w:spacing w:line="276" w:lineRule="auto"/>
        <w:jc w:val="both"/>
      </w:pPr>
      <w:r>
        <w:t>Thanks are due to Corrigan Associates for carrying out the independent examination of the accounts and to Penny and her team for their continuing provision of services to members within tight financial constraints.</w:t>
      </w:r>
    </w:p>
    <w:p w14:paraId="376B6DCF" w14:textId="77777777" w:rsidR="007656F7" w:rsidRDefault="007656F7" w:rsidP="007656F7">
      <w:pPr>
        <w:spacing w:line="276" w:lineRule="auto"/>
        <w:jc w:val="both"/>
      </w:pPr>
    </w:p>
    <w:p w14:paraId="2F606AA1" w14:textId="77777777" w:rsidR="007656F7" w:rsidRPr="00C97B0F" w:rsidRDefault="007656F7" w:rsidP="007656F7">
      <w:pPr>
        <w:spacing w:line="276" w:lineRule="auto"/>
        <w:jc w:val="both"/>
        <w:rPr>
          <w:b/>
          <w:sz w:val="24"/>
        </w:rPr>
      </w:pPr>
      <w:r w:rsidRPr="00C97B0F">
        <w:rPr>
          <w:b/>
          <w:sz w:val="24"/>
        </w:rPr>
        <w:t>Examination of accounts</w:t>
      </w:r>
    </w:p>
    <w:p w14:paraId="20E76075" w14:textId="77777777" w:rsidR="007656F7" w:rsidRDefault="007656F7" w:rsidP="007656F7">
      <w:pPr>
        <w:spacing w:line="276" w:lineRule="auto"/>
        <w:jc w:val="both"/>
      </w:pPr>
      <w:r>
        <w:t>The annual income of ASDC falls within the levels at which full audit is not required. Provision is made in law for small and medium charities to use an intermediate method of scrutiny known as an independent examination.</w:t>
      </w:r>
    </w:p>
    <w:p w14:paraId="676C244B" w14:textId="77777777" w:rsidR="007656F7" w:rsidRDefault="007656F7" w:rsidP="007656F7">
      <w:pPr>
        <w:spacing w:line="276" w:lineRule="auto"/>
        <w:jc w:val="both"/>
      </w:pPr>
    </w:p>
    <w:p w14:paraId="3AB94F80" w14:textId="77777777" w:rsidR="007656F7" w:rsidRPr="00C97B0F" w:rsidRDefault="007656F7" w:rsidP="007656F7">
      <w:pPr>
        <w:spacing w:line="276" w:lineRule="auto"/>
        <w:jc w:val="both"/>
        <w:rPr>
          <w:b/>
          <w:sz w:val="24"/>
        </w:rPr>
      </w:pPr>
      <w:r w:rsidRPr="00C97B0F">
        <w:rPr>
          <w:b/>
          <w:sz w:val="24"/>
        </w:rPr>
        <w:t>Conclusion</w:t>
      </w:r>
    </w:p>
    <w:p w14:paraId="722BBDCF" w14:textId="77777777" w:rsidR="007656F7" w:rsidRDefault="00C55BBA" w:rsidP="007656F7">
      <w:pPr>
        <w:spacing w:line="276" w:lineRule="auto"/>
        <w:jc w:val="both"/>
      </w:pPr>
      <w:r>
        <w:t>We</w:t>
      </w:r>
      <w:r w:rsidR="007656F7">
        <w:t xml:space="preserve"> recommend that the accounts are accepted and submitted to Companies House and the Charity Commission.</w:t>
      </w:r>
    </w:p>
    <w:p w14:paraId="131DA603" w14:textId="7971B2EE" w:rsidR="00EE513A" w:rsidRDefault="00EE513A" w:rsidP="007656F7">
      <w:pPr>
        <w:spacing w:line="276" w:lineRule="auto"/>
        <w:jc w:val="both"/>
      </w:pPr>
    </w:p>
    <w:p w14:paraId="19EA526B" w14:textId="77777777" w:rsidR="004D6939" w:rsidRDefault="004D6939" w:rsidP="007656F7">
      <w:pPr>
        <w:spacing w:line="276" w:lineRule="auto"/>
        <w:jc w:val="both"/>
      </w:pPr>
    </w:p>
    <w:p w14:paraId="737685A5" w14:textId="77777777" w:rsidR="007656F7" w:rsidRDefault="007656F7" w:rsidP="007656F7">
      <w:pPr>
        <w:spacing w:line="276" w:lineRule="auto"/>
        <w:jc w:val="both"/>
      </w:pPr>
      <w:r>
        <w:t>Chris Godden FCA, ASDC Finance Director</w:t>
      </w:r>
    </w:p>
    <w:p w14:paraId="24F212DD" w14:textId="4C194D1B" w:rsidR="00C55BBA" w:rsidRDefault="00745EFA" w:rsidP="007656F7">
      <w:pPr>
        <w:spacing w:line="276" w:lineRule="auto"/>
        <w:jc w:val="both"/>
      </w:pPr>
      <w:r>
        <w:t>Liz Hodge</w:t>
      </w:r>
      <w:r w:rsidR="00C55BBA">
        <w:t>, Treasurer</w:t>
      </w:r>
    </w:p>
    <w:p w14:paraId="75CA6EF1" w14:textId="68C92B1E" w:rsidR="007656F7" w:rsidRDefault="00933DCF" w:rsidP="007656F7">
      <w:pPr>
        <w:spacing w:line="276" w:lineRule="auto"/>
        <w:jc w:val="both"/>
      </w:pPr>
      <w:r>
        <w:t>November</w:t>
      </w:r>
      <w:r w:rsidR="00CF703A">
        <w:t xml:space="preserve"> 201</w:t>
      </w:r>
      <w:r w:rsidR="004D6939">
        <w:t>9</w:t>
      </w:r>
    </w:p>
    <w:sectPr w:rsidR="007656F7" w:rsidSect="005F6623">
      <w:pgSz w:w="11907" w:h="16840" w:code="9"/>
      <w:pgMar w:top="1134"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34F1F"/>
    <w:multiLevelType w:val="hybridMultilevel"/>
    <w:tmpl w:val="60AA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D61"/>
    <w:rsid w:val="00001CE8"/>
    <w:rsid w:val="00023A51"/>
    <w:rsid w:val="00023A61"/>
    <w:rsid w:val="00036A13"/>
    <w:rsid w:val="00050B34"/>
    <w:rsid w:val="00052D0B"/>
    <w:rsid w:val="00056FC2"/>
    <w:rsid w:val="000576D0"/>
    <w:rsid w:val="000615C2"/>
    <w:rsid w:val="00072BB3"/>
    <w:rsid w:val="000759BB"/>
    <w:rsid w:val="0007614E"/>
    <w:rsid w:val="0008041C"/>
    <w:rsid w:val="0009471E"/>
    <w:rsid w:val="00096B45"/>
    <w:rsid w:val="000B089B"/>
    <w:rsid w:val="000B47D5"/>
    <w:rsid w:val="000B6A61"/>
    <w:rsid w:val="000C3894"/>
    <w:rsid w:val="000C7DE2"/>
    <w:rsid w:val="000D15AF"/>
    <w:rsid w:val="000D5956"/>
    <w:rsid w:val="000E041A"/>
    <w:rsid w:val="000E4AC2"/>
    <w:rsid w:val="000E619C"/>
    <w:rsid w:val="000E772A"/>
    <w:rsid w:val="000E7931"/>
    <w:rsid w:val="000F1739"/>
    <w:rsid w:val="000F2CBD"/>
    <w:rsid w:val="000F5ABB"/>
    <w:rsid w:val="001021CD"/>
    <w:rsid w:val="001035EE"/>
    <w:rsid w:val="00103F55"/>
    <w:rsid w:val="001057C7"/>
    <w:rsid w:val="00110D2F"/>
    <w:rsid w:val="00113755"/>
    <w:rsid w:val="00114B10"/>
    <w:rsid w:val="00130240"/>
    <w:rsid w:val="0013032E"/>
    <w:rsid w:val="00137477"/>
    <w:rsid w:val="00143D22"/>
    <w:rsid w:val="00144AD2"/>
    <w:rsid w:val="001533ED"/>
    <w:rsid w:val="001607BE"/>
    <w:rsid w:val="001627BA"/>
    <w:rsid w:val="00171B43"/>
    <w:rsid w:val="0017651E"/>
    <w:rsid w:val="001802EB"/>
    <w:rsid w:val="00190A98"/>
    <w:rsid w:val="0019272B"/>
    <w:rsid w:val="001959CB"/>
    <w:rsid w:val="00196B23"/>
    <w:rsid w:val="00197AD8"/>
    <w:rsid w:val="001A3D79"/>
    <w:rsid w:val="001A5530"/>
    <w:rsid w:val="001B1B21"/>
    <w:rsid w:val="001B27B7"/>
    <w:rsid w:val="001B3FBD"/>
    <w:rsid w:val="001C2C70"/>
    <w:rsid w:val="001C5D9B"/>
    <w:rsid w:val="001F237E"/>
    <w:rsid w:val="00210F3C"/>
    <w:rsid w:val="00211F76"/>
    <w:rsid w:val="00214854"/>
    <w:rsid w:val="002205F7"/>
    <w:rsid w:val="00224197"/>
    <w:rsid w:val="00227AE0"/>
    <w:rsid w:val="00256B96"/>
    <w:rsid w:val="0026477E"/>
    <w:rsid w:val="002658F6"/>
    <w:rsid w:val="0027565F"/>
    <w:rsid w:val="002777F8"/>
    <w:rsid w:val="0028058F"/>
    <w:rsid w:val="00280B3A"/>
    <w:rsid w:val="00290F98"/>
    <w:rsid w:val="002950C0"/>
    <w:rsid w:val="00297829"/>
    <w:rsid w:val="002A7F30"/>
    <w:rsid w:val="002B1E54"/>
    <w:rsid w:val="002C6117"/>
    <w:rsid w:val="002C7ED9"/>
    <w:rsid w:val="002D2AC0"/>
    <w:rsid w:val="002E0BF1"/>
    <w:rsid w:val="002F0182"/>
    <w:rsid w:val="002F60FE"/>
    <w:rsid w:val="00301023"/>
    <w:rsid w:val="00302071"/>
    <w:rsid w:val="0032288E"/>
    <w:rsid w:val="0033251C"/>
    <w:rsid w:val="0033646B"/>
    <w:rsid w:val="00337502"/>
    <w:rsid w:val="003429DD"/>
    <w:rsid w:val="00345488"/>
    <w:rsid w:val="0034680B"/>
    <w:rsid w:val="00351AB1"/>
    <w:rsid w:val="0035460E"/>
    <w:rsid w:val="00360BAF"/>
    <w:rsid w:val="00372985"/>
    <w:rsid w:val="003732C0"/>
    <w:rsid w:val="00374390"/>
    <w:rsid w:val="00376A6E"/>
    <w:rsid w:val="00382E7D"/>
    <w:rsid w:val="00394EBB"/>
    <w:rsid w:val="003A52CC"/>
    <w:rsid w:val="003B4D89"/>
    <w:rsid w:val="003B7C79"/>
    <w:rsid w:val="003C7373"/>
    <w:rsid w:val="003D257C"/>
    <w:rsid w:val="003D3380"/>
    <w:rsid w:val="003E191A"/>
    <w:rsid w:val="003E3A8F"/>
    <w:rsid w:val="003F0D02"/>
    <w:rsid w:val="004061D9"/>
    <w:rsid w:val="00415EF8"/>
    <w:rsid w:val="0042168F"/>
    <w:rsid w:val="00422221"/>
    <w:rsid w:val="004222F3"/>
    <w:rsid w:val="0042575D"/>
    <w:rsid w:val="004369D0"/>
    <w:rsid w:val="00442099"/>
    <w:rsid w:val="004443BC"/>
    <w:rsid w:val="004521AE"/>
    <w:rsid w:val="0046577B"/>
    <w:rsid w:val="00472076"/>
    <w:rsid w:val="004729BD"/>
    <w:rsid w:val="004770D8"/>
    <w:rsid w:val="0048031E"/>
    <w:rsid w:val="00480777"/>
    <w:rsid w:val="00482F68"/>
    <w:rsid w:val="00491F1B"/>
    <w:rsid w:val="00492731"/>
    <w:rsid w:val="00493FA1"/>
    <w:rsid w:val="004A0521"/>
    <w:rsid w:val="004A0D60"/>
    <w:rsid w:val="004A31B8"/>
    <w:rsid w:val="004A5D93"/>
    <w:rsid w:val="004A6D4C"/>
    <w:rsid w:val="004B2E2A"/>
    <w:rsid w:val="004C065F"/>
    <w:rsid w:val="004C35CB"/>
    <w:rsid w:val="004D6939"/>
    <w:rsid w:val="004F2113"/>
    <w:rsid w:val="00500920"/>
    <w:rsid w:val="00505281"/>
    <w:rsid w:val="00511775"/>
    <w:rsid w:val="00511883"/>
    <w:rsid w:val="00511DBA"/>
    <w:rsid w:val="00517985"/>
    <w:rsid w:val="00522E8D"/>
    <w:rsid w:val="00530352"/>
    <w:rsid w:val="00530E33"/>
    <w:rsid w:val="00541253"/>
    <w:rsid w:val="005414C3"/>
    <w:rsid w:val="005434F9"/>
    <w:rsid w:val="00543F22"/>
    <w:rsid w:val="005453BF"/>
    <w:rsid w:val="0055047E"/>
    <w:rsid w:val="00561184"/>
    <w:rsid w:val="00562817"/>
    <w:rsid w:val="00563E08"/>
    <w:rsid w:val="00564F07"/>
    <w:rsid w:val="0057101A"/>
    <w:rsid w:val="00572862"/>
    <w:rsid w:val="00590485"/>
    <w:rsid w:val="005A1015"/>
    <w:rsid w:val="005A1621"/>
    <w:rsid w:val="005C7939"/>
    <w:rsid w:val="005D0425"/>
    <w:rsid w:val="005D12DB"/>
    <w:rsid w:val="005E05E7"/>
    <w:rsid w:val="005E42A9"/>
    <w:rsid w:val="005F6623"/>
    <w:rsid w:val="006003BD"/>
    <w:rsid w:val="00603C0D"/>
    <w:rsid w:val="00611F4C"/>
    <w:rsid w:val="00622848"/>
    <w:rsid w:val="00622DD0"/>
    <w:rsid w:val="00633D93"/>
    <w:rsid w:val="006457AE"/>
    <w:rsid w:val="00653ED6"/>
    <w:rsid w:val="006609B5"/>
    <w:rsid w:val="00665BE7"/>
    <w:rsid w:val="006664D0"/>
    <w:rsid w:val="00675CA1"/>
    <w:rsid w:val="0068511F"/>
    <w:rsid w:val="00686CE9"/>
    <w:rsid w:val="0069327B"/>
    <w:rsid w:val="006939EC"/>
    <w:rsid w:val="00693DFE"/>
    <w:rsid w:val="0069467E"/>
    <w:rsid w:val="00695880"/>
    <w:rsid w:val="00696A98"/>
    <w:rsid w:val="006A18DE"/>
    <w:rsid w:val="006A5162"/>
    <w:rsid w:val="006B31ED"/>
    <w:rsid w:val="006C23E3"/>
    <w:rsid w:val="006C3EEA"/>
    <w:rsid w:val="006C4C96"/>
    <w:rsid w:val="006C4DEC"/>
    <w:rsid w:val="006D1D65"/>
    <w:rsid w:val="006D2C28"/>
    <w:rsid w:val="006D58F1"/>
    <w:rsid w:val="006D5C6D"/>
    <w:rsid w:val="006F0B9F"/>
    <w:rsid w:val="006F7253"/>
    <w:rsid w:val="00705BAF"/>
    <w:rsid w:val="00712451"/>
    <w:rsid w:val="0071629C"/>
    <w:rsid w:val="00717D53"/>
    <w:rsid w:val="007321DB"/>
    <w:rsid w:val="00735424"/>
    <w:rsid w:val="0074383D"/>
    <w:rsid w:val="00745EFA"/>
    <w:rsid w:val="0076003B"/>
    <w:rsid w:val="00761D3A"/>
    <w:rsid w:val="007656F7"/>
    <w:rsid w:val="00771515"/>
    <w:rsid w:val="0077430D"/>
    <w:rsid w:val="00792840"/>
    <w:rsid w:val="00792A12"/>
    <w:rsid w:val="007A33F8"/>
    <w:rsid w:val="007B090D"/>
    <w:rsid w:val="007C364B"/>
    <w:rsid w:val="007C4F8A"/>
    <w:rsid w:val="007D40A4"/>
    <w:rsid w:val="007D70F7"/>
    <w:rsid w:val="007E3D61"/>
    <w:rsid w:val="00802711"/>
    <w:rsid w:val="0081064A"/>
    <w:rsid w:val="008233FD"/>
    <w:rsid w:val="00825024"/>
    <w:rsid w:val="00831D61"/>
    <w:rsid w:val="008350BA"/>
    <w:rsid w:val="008406C2"/>
    <w:rsid w:val="008506FA"/>
    <w:rsid w:val="008551C2"/>
    <w:rsid w:val="00856A4E"/>
    <w:rsid w:val="00880696"/>
    <w:rsid w:val="00891040"/>
    <w:rsid w:val="00891379"/>
    <w:rsid w:val="0089497B"/>
    <w:rsid w:val="008A233B"/>
    <w:rsid w:val="008A3EBA"/>
    <w:rsid w:val="008A5E63"/>
    <w:rsid w:val="008B1877"/>
    <w:rsid w:val="008B42E0"/>
    <w:rsid w:val="008C1FA2"/>
    <w:rsid w:val="008C7F4E"/>
    <w:rsid w:val="008D1803"/>
    <w:rsid w:val="008D1C11"/>
    <w:rsid w:val="008D75B8"/>
    <w:rsid w:val="008E1097"/>
    <w:rsid w:val="008E4EB5"/>
    <w:rsid w:val="008E63B8"/>
    <w:rsid w:val="008F1773"/>
    <w:rsid w:val="008F303E"/>
    <w:rsid w:val="008F346C"/>
    <w:rsid w:val="008F4245"/>
    <w:rsid w:val="008F44D2"/>
    <w:rsid w:val="00920AE0"/>
    <w:rsid w:val="00921945"/>
    <w:rsid w:val="009220F5"/>
    <w:rsid w:val="0092272C"/>
    <w:rsid w:val="00922A90"/>
    <w:rsid w:val="00932158"/>
    <w:rsid w:val="00933DCF"/>
    <w:rsid w:val="00940894"/>
    <w:rsid w:val="0094561F"/>
    <w:rsid w:val="009548A1"/>
    <w:rsid w:val="00966F79"/>
    <w:rsid w:val="00980581"/>
    <w:rsid w:val="00980FB7"/>
    <w:rsid w:val="00981BE9"/>
    <w:rsid w:val="009827A6"/>
    <w:rsid w:val="00983076"/>
    <w:rsid w:val="00987413"/>
    <w:rsid w:val="0098783E"/>
    <w:rsid w:val="009905E5"/>
    <w:rsid w:val="009A3C2D"/>
    <w:rsid w:val="009B1A5D"/>
    <w:rsid w:val="009B68C8"/>
    <w:rsid w:val="009D2EA1"/>
    <w:rsid w:val="009E3944"/>
    <w:rsid w:val="009E6B4B"/>
    <w:rsid w:val="009F25E3"/>
    <w:rsid w:val="00A04D7C"/>
    <w:rsid w:val="00A10F03"/>
    <w:rsid w:val="00A146C9"/>
    <w:rsid w:val="00A14F99"/>
    <w:rsid w:val="00A16F14"/>
    <w:rsid w:val="00A260E9"/>
    <w:rsid w:val="00A37893"/>
    <w:rsid w:val="00A52880"/>
    <w:rsid w:val="00A55603"/>
    <w:rsid w:val="00A55721"/>
    <w:rsid w:val="00A57030"/>
    <w:rsid w:val="00A57E80"/>
    <w:rsid w:val="00A65359"/>
    <w:rsid w:val="00A73ADF"/>
    <w:rsid w:val="00A745A2"/>
    <w:rsid w:val="00A8732D"/>
    <w:rsid w:val="00A87A91"/>
    <w:rsid w:val="00A90BDD"/>
    <w:rsid w:val="00A91146"/>
    <w:rsid w:val="00A96D21"/>
    <w:rsid w:val="00AA249B"/>
    <w:rsid w:val="00AA4C1F"/>
    <w:rsid w:val="00AA70C3"/>
    <w:rsid w:val="00AA7A81"/>
    <w:rsid w:val="00AA7D41"/>
    <w:rsid w:val="00AB25A4"/>
    <w:rsid w:val="00AC1260"/>
    <w:rsid w:val="00AC2941"/>
    <w:rsid w:val="00AC2A49"/>
    <w:rsid w:val="00AC4901"/>
    <w:rsid w:val="00AC7280"/>
    <w:rsid w:val="00AD0AE7"/>
    <w:rsid w:val="00AD3ABF"/>
    <w:rsid w:val="00AD71B6"/>
    <w:rsid w:val="00AF5C32"/>
    <w:rsid w:val="00AF6DED"/>
    <w:rsid w:val="00B01062"/>
    <w:rsid w:val="00B02A1D"/>
    <w:rsid w:val="00B2125E"/>
    <w:rsid w:val="00B21D6A"/>
    <w:rsid w:val="00B27958"/>
    <w:rsid w:val="00B31FF0"/>
    <w:rsid w:val="00B32B5A"/>
    <w:rsid w:val="00B35F62"/>
    <w:rsid w:val="00B4244B"/>
    <w:rsid w:val="00B47768"/>
    <w:rsid w:val="00B51458"/>
    <w:rsid w:val="00B51A4E"/>
    <w:rsid w:val="00B523BB"/>
    <w:rsid w:val="00B552A8"/>
    <w:rsid w:val="00B66D9D"/>
    <w:rsid w:val="00B71357"/>
    <w:rsid w:val="00B920B8"/>
    <w:rsid w:val="00B93F83"/>
    <w:rsid w:val="00B945E0"/>
    <w:rsid w:val="00BA3C48"/>
    <w:rsid w:val="00BB39EB"/>
    <w:rsid w:val="00BB638A"/>
    <w:rsid w:val="00BC061B"/>
    <w:rsid w:val="00BC7126"/>
    <w:rsid w:val="00BE0A13"/>
    <w:rsid w:val="00BE5EB4"/>
    <w:rsid w:val="00BF3A3E"/>
    <w:rsid w:val="00BF6276"/>
    <w:rsid w:val="00BF7BCC"/>
    <w:rsid w:val="00C0443F"/>
    <w:rsid w:val="00C13370"/>
    <w:rsid w:val="00C201CF"/>
    <w:rsid w:val="00C2237E"/>
    <w:rsid w:val="00C223EF"/>
    <w:rsid w:val="00C43C24"/>
    <w:rsid w:val="00C478A3"/>
    <w:rsid w:val="00C55BBA"/>
    <w:rsid w:val="00C55C90"/>
    <w:rsid w:val="00C62A85"/>
    <w:rsid w:val="00C67CE5"/>
    <w:rsid w:val="00C67F97"/>
    <w:rsid w:val="00C7322C"/>
    <w:rsid w:val="00C73687"/>
    <w:rsid w:val="00C80268"/>
    <w:rsid w:val="00C9523F"/>
    <w:rsid w:val="00C97B0F"/>
    <w:rsid w:val="00CA550C"/>
    <w:rsid w:val="00CB6A3E"/>
    <w:rsid w:val="00CD42F7"/>
    <w:rsid w:val="00CD5352"/>
    <w:rsid w:val="00CD5D72"/>
    <w:rsid w:val="00CE386F"/>
    <w:rsid w:val="00CF1B3D"/>
    <w:rsid w:val="00CF703A"/>
    <w:rsid w:val="00D007AF"/>
    <w:rsid w:val="00D0171D"/>
    <w:rsid w:val="00D178EC"/>
    <w:rsid w:val="00D3166F"/>
    <w:rsid w:val="00D33F17"/>
    <w:rsid w:val="00D40A5D"/>
    <w:rsid w:val="00D4197B"/>
    <w:rsid w:val="00D505A4"/>
    <w:rsid w:val="00D518FA"/>
    <w:rsid w:val="00D602EE"/>
    <w:rsid w:val="00D60A8C"/>
    <w:rsid w:val="00D611EC"/>
    <w:rsid w:val="00D619FD"/>
    <w:rsid w:val="00D61C44"/>
    <w:rsid w:val="00D65B0C"/>
    <w:rsid w:val="00D74D7B"/>
    <w:rsid w:val="00D76119"/>
    <w:rsid w:val="00D77084"/>
    <w:rsid w:val="00D84E3A"/>
    <w:rsid w:val="00D95F51"/>
    <w:rsid w:val="00DA4B85"/>
    <w:rsid w:val="00DA5487"/>
    <w:rsid w:val="00DA6D18"/>
    <w:rsid w:val="00DB4ADF"/>
    <w:rsid w:val="00DD1C86"/>
    <w:rsid w:val="00DD207E"/>
    <w:rsid w:val="00DD4057"/>
    <w:rsid w:val="00DE0FAE"/>
    <w:rsid w:val="00DE5521"/>
    <w:rsid w:val="00DF21C1"/>
    <w:rsid w:val="00DF2EE2"/>
    <w:rsid w:val="00DF5E06"/>
    <w:rsid w:val="00DF7022"/>
    <w:rsid w:val="00E00290"/>
    <w:rsid w:val="00E04113"/>
    <w:rsid w:val="00E05D36"/>
    <w:rsid w:val="00E11013"/>
    <w:rsid w:val="00E16A6E"/>
    <w:rsid w:val="00E31A8F"/>
    <w:rsid w:val="00E33018"/>
    <w:rsid w:val="00E33077"/>
    <w:rsid w:val="00E356B8"/>
    <w:rsid w:val="00E36E9E"/>
    <w:rsid w:val="00E37BEB"/>
    <w:rsid w:val="00E40C58"/>
    <w:rsid w:val="00E44A70"/>
    <w:rsid w:val="00E44CC6"/>
    <w:rsid w:val="00E56777"/>
    <w:rsid w:val="00E57C1D"/>
    <w:rsid w:val="00E6022E"/>
    <w:rsid w:val="00E82EFB"/>
    <w:rsid w:val="00E83BD4"/>
    <w:rsid w:val="00E90B23"/>
    <w:rsid w:val="00EA1D98"/>
    <w:rsid w:val="00EA7F25"/>
    <w:rsid w:val="00EB2F02"/>
    <w:rsid w:val="00EB378D"/>
    <w:rsid w:val="00EB520B"/>
    <w:rsid w:val="00EC1867"/>
    <w:rsid w:val="00ED04A9"/>
    <w:rsid w:val="00ED2A25"/>
    <w:rsid w:val="00ED4CA6"/>
    <w:rsid w:val="00ED7BBB"/>
    <w:rsid w:val="00EE09E7"/>
    <w:rsid w:val="00EE2F3C"/>
    <w:rsid w:val="00EE3395"/>
    <w:rsid w:val="00EE480A"/>
    <w:rsid w:val="00EE513A"/>
    <w:rsid w:val="00EE52AE"/>
    <w:rsid w:val="00F00042"/>
    <w:rsid w:val="00F008EF"/>
    <w:rsid w:val="00F127BC"/>
    <w:rsid w:val="00F13AB5"/>
    <w:rsid w:val="00F15849"/>
    <w:rsid w:val="00F21672"/>
    <w:rsid w:val="00F2237D"/>
    <w:rsid w:val="00F37036"/>
    <w:rsid w:val="00F4008E"/>
    <w:rsid w:val="00F4204D"/>
    <w:rsid w:val="00F44471"/>
    <w:rsid w:val="00F44801"/>
    <w:rsid w:val="00F5374F"/>
    <w:rsid w:val="00F53B0A"/>
    <w:rsid w:val="00F55212"/>
    <w:rsid w:val="00F57971"/>
    <w:rsid w:val="00F63EB0"/>
    <w:rsid w:val="00F67BF6"/>
    <w:rsid w:val="00F71503"/>
    <w:rsid w:val="00FA1505"/>
    <w:rsid w:val="00FA47B6"/>
    <w:rsid w:val="00FB282A"/>
    <w:rsid w:val="00FB541A"/>
    <w:rsid w:val="00FC2B96"/>
    <w:rsid w:val="00FD6157"/>
    <w:rsid w:val="00FE0E55"/>
    <w:rsid w:val="00FE529D"/>
    <w:rsid w:val="00FE64EA"/>
    <w:rsid w:val="00FF5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BC003"/>
  <w15:docId w15:val="{F88FF490-2459-4258-9141-D8A458F1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BBA"/>
    <w:rPr>
      <w:rFonts w:ascii="Tahoma" w:hAnsi="Tahoma" w:cs="Tahoma"/>
      <w:sz w:val="16"/>
      <w:szCs w:val="16"/>
    </w:rPr>
  </w:style>
  <w:style w:type="character" w:customStyle="1" w:styleId="BalloonTextChar">
    <w:name w:val="Balloon Text Char"/>
    <w:basedOn w:val="DefaultParagraphFont"/>
    <w:link w:val="BalloonText"/>
    <w:uiPriority w:val="99"/>
    <w:semiHidden/>
    <w:rsid w:val="00C55BBA"/>
    <w:rPr>
      <w:rFonts w:ascii="Tahoma" w:hAnsi="Tahoma" w:cs="Tahoma"/>
      <w:sz w:val="16"/>
      <w:szCs w:val="16"/>
    </w:rPr>
  </w:style>
  <w:style w:type="paragraph" w:styleId="ListParagraph">
    <w:name w:val="List Paragraph"/>
    <w:basedOn w:val="Normal"/>
    <w:uiPriority w:val="34"/>
    <w:qFormat/>
    <w:rsid w:val="00EE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529">
      <w:bodyDiv w:val="1"/>
      <w:marLeft w:val="0"/>
      <w:marRight w:val="0"/>
      <w:marTop w:val="0"/>
      <w:marBottom w:val="0"/>
      <w:divBdr>
        <w:top w:val="none" w:sz="0" w:space="0" w:color="auto"/>
        <w:left w:val="none" w:sz="0" w:space="0" w:color="auto"/>
        <w:bottom w:val="none" w:sz="0" w:space="0" w:color="auto"/>
        <w:right w:val="none" w:sz="0" w:space="0" w:color="auto"/>
      </w:divBdr>
    </w:div>
    <w:div w:id="1638491403">
      <w:bodyDiv w:val="1"/>
      <w:marLeft w:val="0"/>
      <w:marRight w:val="0"/>
      <w:marTop w:val="0"/>
      <w:marBottom w:val="0"/>
      <w:divBdr>
        <w:top w:val="none" w:sz="0" w:space="0" w:color="auto"/>
        <w:left w:val="none" w:sz="0" w:space="0" w:color="auto"/>
        <w:bottom w:val="none" w:sz="0" w:space="0" w:color="auto"/>
        <w:right w:val="none" w:sz="0" w:space="0" w:color="auto"/>
      </w:divBdr>
    </w:div>
    <w:div w:id="2121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Godden</dc:creator>
  <cp:lastModifiedBy>Admin</cp:lastModifiedBy>
  <cp:revision>4</cp:revision>
  <cp:lastPrinted>2019-11-13T19:31:00Z</cp:lastPrinted>
  <dcterms:created xsi:type="dcterms:W3CDTF">2019-11-13T19:22:00Z</dcterms:created>
  <dcterms:modified xsi:type="dcterms:W3CDTF">2019-11-13T19:32:00Z</dcterms:modified>
</cp:coreProperties>
</file>