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884C6" w14:textId="77777777" w:rsidR="006B7804" w:rsidRPr="00FB432E" w:rsidRDefault="006B7804" w:rsidP="006B7804">
      <w:pPr>
        <w:pStyle w:val="Heading1"/>
      </w:pPr>
      <w:bookmarkStart w:id="0" w:name="_Toc25879360"/>
      <w:bookmarkStart w:id="1" w:name="_Hlk38362824"/>
      <w:r w:rsidRPr="00FB432E">
        <w:t>The Inspiring Science Fund</w:t>
      </w:r>
      <w:bookmarkEnd w:id="0"/>
    </w:p>
    <w:p w14:paraId="2F2A5521" w14:textId="77777777" w:rsidR="006B7804" w:rsidRPr="00EE780A" w:rsidRDefault="006B7804" w:rsidP="006B7804">
      <w:pPr>
        <w:pStyle w:val="Heading2"/>
      </w:pPr>
      <w:bookmarkStart w:id="2" w:name="_Toc25879361"/>
      <w:bookmarkStart w:id="3" w:name="_GoBack"/>
      <w:r w:rsidRPr="00EE780A">
        <w:t>Background</w:t>
      </w:r>
      <w:bookmarkEnd w:id="2"/>
    </w:p>
    <w:p w14:paraId="0610AB7C" w14:textId="77777777" w:rsidR="006B7804" w:rsidRPr="00EE780A" w:rsidRDefault="006B7804" w:rsidP="006B7804">
      <w:pPr>
        <w:rPr>
          <w:lang w:eastAsia="en-GB"/>
        </w:rPr>
      </w:pPr>
      <w:r w:rsidRPr="00EE780A">
        <w:rPr>
          <w:lang w:eastAsia="en-GB"/>
        </w:rPr>
        <w:t xml:space="preserve">In 2014 BEIS ran a Public Consultation on proposals for long term capital investment in science and research, specifically the allocation of £5.9 billion of research capital funding between 2016 and 2021. </w:t>
      </w:r>
    </w:p>
    <w:p w14:paraId="488F5504" w14:textId="77777777" w:rsidR="006B7804" w:rsidRPr="00EE780A" w:rsidRDefault="006B7804" w:rsidP="006B7804">
      <w:pPr>
        <w:rPr>
          <w:lang w:eastAsia="en-GB"/>
        </w:rPr>
      </w:pPr>
      <w:r w:rsidRPr="00EE780A">
        <w:rPr>
          <w:lang w:eastAsia="en-GB"/>
        </w:rPr>
        <w:t>ASDC submitted a Proposal for the creation of a new 'Inspiring Science Capital Fund' for UK Science Centres. This was as a result of discussions between ASDC and the then Science Minister David Willetts and his colleagues in BEIS (then BIS). The ASDC Proposal</w:t>
      </w:r>
      <w:r>
        <w:rPr>
          <w:lang w:eastAsia="en-GB"/>
        </w:rPr>
        <w:t xml:space="preserve"> to create this new Capital Fund</w:t>
      </w:r>
      <w:r w:rsidRPr="00EE780A">
        <w:rPr>
          <w:lang w:eastAsia="en-GB"/>
        </w:rPr>
        <w:t xml:space="preserve"> was then included in the Capital Consultation for public comment. </w:t>
      </w:r>
    </w:p>
    <w:p w14:paraId="3DBD514C" w14:textId="77777777" w:rsidR="006B7804" w:rsidRPr="00EE780A" w:rsidRDefault="006B7804" w:rsidP="006B7804">
      <w:pPr>
        <w:rPr>
          <w:lang w:eastAsia="en-GB"/>
        </w:rPr>
      </w:pPr>
      <w:r w:rsidRPr="00EE780A">
        <w:rPr>
          <w:lang w:eastAsia="en-GB"/>
        </w:rPr>
        <w:t>Following several years work between ASDC and BEIS, this proposal was approved</w:t>
      </w:r>
      <w:r>
        <w:rPr>
          <w:lang w:eastAsia="en-GB"/>
        </w:rPr>
        <w:t xml:space="preserve">, </w:t>
      </w:r>
      <w:r w:rsidRPr="00EE780A">
        <w:rPr>
          <w:lang w:eastAsia="en-GB"/>
        </w:rPr>
        <w:t xml:space="preserve">and Wellcome delightfully </w:t>
      </w:r>
      <w:r>
        <w:rPr>
          <w:lang w:eastAsia="en-GB"/>
        </w:rPr>
        <w:t xml:space="preserve">then </w:t>
      </w:r>
      <w:r w:rsidRPr="00EE780A">
        <w:rPr>
          <w:lang w:eastAsia="en-GB"/>
        </w:rPr>
        <w:t>joined as a partner, bringing £10 million to supplement the £20 million from BEIS. Wellcome then opened and administered the scheme. Applications were taken in two rounds and were awarded as detailed in the following table.</w:t>
      </w:r>
    </w:p>
    <w:p w14:paraId="22E49818" w14:textId="77777777" w:rsidR="006B7804" w:rsidRPr="00EE780A" w:rsidRDefault="006B7804" w:rsidP="006B7804">
      <w:pPr>
        <w:pStyle w:val="Heading2"/>
      </w:pPr>
      <w:bookmarkStart w:id="4" w:name="_Toc25879362"/>
      <w:r w:rsidRPr="00EE780A">
        <w:t>Centres with investment through the Inspiring Science Funding</w:t>
      </w:r>
      <w:bookmarkEnd w:id="4"/>
    </w:p>
    <w:p w14:paraId="36AB8F23" w14:textId="77777777" w:rsidR="006B7804" w:rsidRPr="00EE780A" w:rsidRDefault="006B7804" w:rsidP="006B7804">
      <w:r w:rsidRPr="00EE780A">
        <w:t>All centres will have completed their programmes and expenditure by March 2021</w:t>
      </w:r>
      <w:r>
        <w:t xml:space="preserve"> (unless extensions are issued due to Covid-19)</w:t>
      </w:r>
    </w:p>
    <w:tbl>
      <w:tblPr>
        <w:tblpPr w:leftFromText="180" w:rightFromText="180" w:vertAnchor="text" w:horzAnchor="page" w:tblpX="1257" w:tblpY="24"/>
        <w:tblW w:w="9346" w:type="dxa"/>
        <w:tblCellMar>
          <w:left w:w="0" w:type="dxa"/>
          <w:right w:w="0" w:type="dxa"/>
        </w:tblCellMar>
        <w:tblLook w:val="04A0" w:firstRow="1" w:lastRow="0" w:firstColumn="1" w:lastColumn="0" w:noHBand="0" w:noVBand="1"/>
      </w:tblPr>
      <w:tblGrid>
        <w:gridCol w:w="6227"/>
        <w:gridCol w:w="1418"/>
        <w:gridCol w:w="1701"/>
      </w:tblGrid>
      <w:tr w:rsidR="006B7804" w:rsidRPr="00EE780A" w14:paraId="5B890D43" w14:textId="77777777" w:rsidTr="00061242">
        <w:trPr>
          <w:trHeight w:val="386"/>
        </w:trPr>
        <w:tc>
          <w:tcPr>
            <w:tcW w:w="622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6E9EF0F4" w14:textId="77777777" w:rsidR="006B7804" w:rsidRPr="00EE780A" w:rsidRDefault="006B7804" w:rsidP="00061242">
            <w:pPr>
              <w:spacing w:after="0" w:line="240" w:lineRule="auto"/>
              <w:ind w:firstLine="22"/>
              <w:rPr>
                <w:rFonts w:asciiTheme="minorHAnsi" w:hAnsiTheme="minorHAnsi" w:cstheme="minorHAnsi"/>
                <w:b/>
              </w:rPr>
            </w:pPr>
          </w:p>
        </w:tc>
        <w:tc>
          <w:tcPr>
            <w:tcW w:w="1418" w:type="dxa"/>
            <w:tcBorders>
              <w:top w:val="single" w:sz="8" w:space="0" w:color="000000"/>
              <w:left w:val="single" w:sz="8" w:space="0" w:color="000000"/>
              <w:bottom w:val="single" w:sz="8" w:space="0" w:color="000000"/>
              <w:right w:val="single" w:sz="8" w:space="0" w:color="000000"/>
            </w:tcBorders>
            <w:shd w:val="clear" w:color="auto" w:fill="C6D9F1"/>
            <w:vAlign w:val="center"/>
          </w:tcPr>
          <w:p w14:paraId="628EA62B" w14:textId="77777777" w:rsidR="006B7804" w:rsidRPr="00EE780A" w:rsidRDefault="006B7804" w:rsidP="00061242">
            <w:pPr>
              <w:spacing w:after="0" w:line="240" w:lineRule="auto"/>
              <w:ind w:firstLine="22"/>
              <w:rPr>
                <w:rFonts w:asciiTheme="minorHAnsi" w:hAnsiTheme="minorHAnsi" w:cstheme="minorHAnsi"/>
                <w:b/>
              </w:rPr>
            </w:pPr>
          </w:p>
        </w:tc>
        <w:tc>
          <w:tcPr>
            <w:tcW w:w="1701" w:type="dxa"/>
            <w:tcBorders>
              <w:top w:val="single" w:sz="8" w:space="0" w:color="000000"/>
              <w:left w:val="single" w:sz="8" w:space="0" w:color="000000"/>
              <w:bottom w:val="single" w:sz="8" w:space="0" w:color="000000"/>
              <w:right w:val="single" w:sz="8" w:space="0" w:color="000000"/>
            </w:tcBorders>
            <w:shd w:val="clear" w:color="auto" w:fill="C6D9F1"/>
          </w:tcPr>
          <w:p w14:paraId="15899E42" w14:textId="77777777" w:rsidR="006B7804" w:rsidRPr="00EE780A" w:rsidRDefault="006B7804" w:rsidP="00061242">
            <w:pPr>
              <w:spacing w:after="0" w:line="240" w:lineRule="auto"/>
              <w:ind w:firstLine="22"/>
              <w:rPr>
                <w:rFonts w:asciiTheme="minorHAnsi" w:hAnsiTheme="minorHAnsi" w:cstheme="minorHAnsi"/>
                <w:b/>
              </w:rPr>
            </w:pPr>
          </w:p>
        </w:tc>
      </w:tr>
      <w:tr w:rsidR="006B7804" w:rsidRPr="00EE780A" w14:paraId="38366943" w14:textId="77777777" w:rsidTr="00061242">
        <w:tc>
          <w:tcPr>
            <w:tcW w:w="62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3CEA187" w14:textId="77777777" w:rsidR="006B7804" w:rsidRPr="00EE780A" w:rsidRDefault="006B7804" w:rsidP="006B7804">
            <w:pPr>
              <w:pStyle w:val="ListParagraph"/>
              <w:numPr>
                <w:ilvl w:val="0"/>
                <w:numId w:val="2"/>
              </w:numPr>
              <w:spacing w:after="0"/>
              <w:rPr>
                <w:rFonts w:asciiTheme="minorHAnsi" w:hAnsiTheme="minorHAnsi" w:cstheme="minorHAnsi"/>
              </w:rPr>
            </w:pPr>
            <w:r w:rsidRPr="00EE780A">
              <w:rPr>
                <w:rFonts w:asciiTheme="minorHAnsi" w:hAnsiTheme="minorHAnsi" w:cstheme="minorHAnsi"/>
              </w:rPr>
              <w:t>Aberdeen Science Centre</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91777E2" w14:textId="77777777" w:rsidR="006B7804" w:rsidRPr="00EE780A" w:rsidRDefault="006B7804" w:rsidP="00061242">
            <w:pPr>
              <w:spacing w:after="0" w:line="240" w:lineRule="auto"/>
              <w:rPr>
                <w:rFonts w:asciiTheme="minorHAnsi" w:hAnsiTheme="minorHAnsi" w:cstheme="minorHAnsi"/>
              </w:rPr>
            </w:pPr>
            <w:r w:rsidRPr="00EE780A">
              <w:rPr>
                <w:rFonts w:asciiTheme="minorHAnsi" w:hAnsiTheme="minorHAnsi" w:cstheme="minorHAnsi"/>
              </w:rPr>
              <w:t>Round 1</w:t>
            </w:r>
          </w:p>
        </w:tc>
        <w:tc>
          <w:tcPr>
            <w:tcW w:w="1701" w:type="dxa"/>
            <w:tcBorders>
              <w:top w:val="single" w:sz="8" w:space="0" w:color="000000"/>
              <w:left w:val="single" w:sz="8" w:space="0" w:color="000000"/>
              <w:bottom w:val="single" w:sz="8" w:space="0" w:color="000000"/>
              <w:right w:val="single" w:sz="8" w:space="0" w:color="000000"/>
            </w:tcBorders>
          </w:tcPr>
          <w:p w14:paraId="345EE9A7" w14:textId="77777777" w:rsidR="006B7804" w:rsidRPr="00EE780A" w:rsidRDefault="006B7804" w:rsidP="00061242">
            <w:pPr>
              <w:spacing w:after="0" w:line="240" w:lineRule="auto"/>
              <w:rPr>
                <w:rFonts w:asciiTheme="minorHAnsi" w:hAnsiTheme="minorHAnsi" w:cstheme="minorHAnsi"/>
                <w:b/>
                <w:bCs/>
              </w:rPr>
            </w:pPr>
            <w:r w:rsidRPr="00EE780A">
              <w:rPr>
                <w:rFonts w:asciiTheme="minorHAnsi" w:hAnsiTheme="minorHAnsi" w:cstheme="minorHAnsi"/>
                <w:b/>
                <w:bCs/>
              </w:rPr>
              <w:t>£2,999,700</w:t>
            </w:r>
          </w:p>
        </w:tc>
      </w:tr>
      <w:tr w:rsidR="006B7804" w:rsidRPr="00EE780A" w14:paraId="52F171CB" w14:textId="77777777" w:rsidTr="00061242">
        <w:tc>
          <w:tcPr>
            <w:tcW w:w="62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A70EEA8" w14:textId="77777777" w:rsidR="006B7804" w:rsidRPr="00EE780A" w:rsidRDefault="006B7804" w:rsidP="006B7804">
            <w:pPr>
              <w:pStyle w:val="ListParagraph"/>
              <w:numPr>
                <w:ilvl w:val="0"/>
                <w:numId w:val="2"/>
              </w:numPr>
              <w:spacing w:after="0"/>
              <w:rPr>
                <w:rFonts w:asciiTheme="minorHAnsi" w:hAnsiTheme="minorHAnsi" w:cstheme="minorHAnsi"/>
              </w:rPr>
            </w:pPr>
            <w:r w:rsidRPr="00EE780A">
              <w:rPr>
                <w:rFonts w:asciiTheme="minorHAnsi" w:hAnsiTheme="minorHAnsi" w:cstheme="minorHAnsi"/>
              </w:rPr>
              <w:t>We The Curious (formerly At Bristol Science Centre)</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9806929" w14:textId="77777777" w:rsidR="006B7804" w:rsidRPr="00EE780A" w:rsidRDefault="006B7804" w:rsidP="00061242">
            <w:pPr>
              <w:spacing w:after="0" w:line="240" w:lineRule="auto"/>
              <w:rPr>
                <w:rFonts w:asciiTheme="minorHAnsi" w:hAnsiTheme="minorHAnsi" w:cstheme="minorHAnsi"/>
              </w:rPr>
            </w:pPr>
            <w:r w:rsidRPr="00EE780A">
              <w:rPr>
                <w:rFonts w:asciiTheme="minorHAnsi" w:hAnsiTheme="minorHAnsi" w:cstheme="minorHAnsi"/>
              </w:rPr>
              <w:t>Round 1</w:t>
            </w:r>
          </w:p>
        </w:tc>
        <w:tc>
          <w:tcPr>
            <w:tcW w:w="1701" w:type="dxa"/>
            <w:tcBorders>
              <w:top w:val="single" w:sz="8" w:space="0" w:color="000000"/>
              <w:left w:val="single" w:sz="8" w:space="0" w:color="000000"/>
              <w:bottom w:val="single" w:sz="8" w:space="0" w:color="000000"/>
              <w:right w:val="single" w:sz="8" w:space="0" w:color="000000"/>
            </w:tcBorders>
          </w:tcPr>
          <w:p w14:paraId="4E4F4AB2" w14:textId="77777777" w:rsidR="006B7804" w:rsidRPr="00EE780A" w:rsidRDefault="006B7804" w:rsidP="00061242">
            <w:pPr>
              <w:spacing w:after="0" w:line="240" w:lineRule="auto"/>
              <w:rPr>
                <w:rFonts w:asciiTheme="minorHAnsi" w:hAnsiTheme="minorHAnsi" w:cstheme="minorHAnsi"/>
                <w:b/>
                <w:bCs/>
              </w:rPr>
            </w:pPr>
            <w:r w:rsidRPr="00EE780A">
              <w:rPr>
                <w:rFonts w:asciiTheme="minorHAnsi" w:hAnsiTheme="minorHAnsi" w:cstheme="minorHAnsi"/>
                <w:b/>
                <w:bCs/>
              </w:rPr>
              <w:t>£3,000,000</w:t>
            </w:r>
          </w:p>
        </w:tc>
      </w:tr>
      <w:tr w:rsidR="006B7804" w:rsidRPr="00EE780A" w14:paraId="16FED8C6" w14:textId="77777777" w:rsidTr="00061242">
        <w:tc>
          <w:tcPr>
            <w:tcW w:w="62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3A75E80" w14:textId="77777777" w:rsidR="006B7804" w:rsidRPr="00EE780A" w:rsidRDefault="006B7804" w:rsidP="006B7804">
            <w:pPr>
              <w:pStyle w:val="ListParagraph"/>
              <w:numPr>
                <w:ilvl w:val="0"/>
                <w:numId w:val="2"/>
              </w:numPr>
              <w:spacing w:after="0"/>
              <w:rPr>
                <w:rFonts w:asciiTheme="minorHAnsi" w:hAnsiTheme="minorHAnsi" w:cstheme="minorHAnsi"/>
              </w:rPr>
            </w:pPr>
            <w:r w:rsidRPr="00EE780A">
              <w:rPr>
                <w:rFonts w:asciiTheme="minorHAnsi" w:hAnsiTheme="minorHAnsi" w:cstheme="minorHAnsi"/>
              </w:rPr>
              <w:t>International Centre for Life</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6E1219B" w14:textId="77777777" w:rsidR="006B7804" w:rsidRPr="00EE780A" w:rsidRDefault="006B7804" w:rsidP="00061242">
            <w:pPr>
              <w:spacing w:after="0" w:line="240" w:lineRule="auto"/>
              <w:rPr>
                <w:rFonts w:asciiTheme="minorHAnsi" w:hAnsiTheme="minorHAnsi" w:cstheme="minorHAnsi"/>
              </w:rPr>
            </w:pPr>
            <w:r w:rsidRPr="00EE780A">
              <w:rPr>
                <w:rFonts w:asciiTheme="minorHAnsi" w:hAnsiTheme="minorHAnsi" w:cstheme="minorHAnsi"/>
              </w:rPr>
              <w:t>Round 1</w:t>
            </w:r>
          </w:p>
        </w:tc>
        <w:tc>
          <w:tcPr>
            <w:tcW w:w="1701" w:type="dxa"/>
            <w:tcBorders>
              <w:top w:val="single" w:sz="8" w:space="0" w:color="000000"/>
              <w:left w:val="single" w:sz="8" w:space="0" w:color="000000"/>
              <w:bottom w:val="single" w:sz="8" w:space="0" w:color="000000"/>
              <w:right w:val="single" w:sz="8" w:space="0" w:color="000000"/>
            </w:tcBorders>
          </w:tcPr>
          <w:p w14:paraId="55D2E743" w14:textId="77777777" w:rsidR="006B7804" w:rsidRPr="00EE780A" w:rsidRDefault="006B7804" w:rsidP="00061242">
            <w:pPr>
              <w:spacing w:after="0" w:line="240" w:lineRule="auto"/>
              <w:rPr>
                <w:rFonts w:asciiTheme="minorHAnsi" w:hAnsiTheme="minorHAnsi" w:cstheme="minorHAnsi"/>
                <w:b/>
                <w:bCs/>
              </w:rPr>
            </w:pPr>
            <w:r w:rsidRPr="00EE780A">
              <w:rPr>
                <w:rFonts w:asciiTheme="minorHAnsi" w:hAnsiTheme="minorHAnsi" w:cstheme="minorHAnsi"/>
                <w:b/>
                <w:bCs/>
              </w:rPr>
              <w:t>£2,592,235</w:t>
            </w:r>
          </w:p>
        </w:tc>
      </w:tr>
      <w:tr w:rsidR="006B7804" w:rsidRPr="00EE780A" w14:paraId="08E2A47D" w14:textId="77777777" w:rsidTr="00061242">
        <w:tc>
          <w:tcPr>
            <w:tcW w:w="62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9CED8D4" w14:textId="77777777" w:rsidR="006B7804" w:rsidRPr="00EE780A" w:rsidRDefault="006B7804" w:rsidP="006B7804">
            <w:pPr>
              <w:pStyle w:val="ListParagraph"/>
              <w:numPr>
                <w:ilvl w:val="0"/>
                <w:numId w:val="2"/>
              </w:numPr>
              <w:spacing w:after="0"/>
              <w:rPr>
                <w:rFonts w:asciiTheme="minorHAnsi" w:hAnsiTheme="minorHAnsi" w:cstheme="minorHAnsi"/>
              </w:rPr>
            </w:pPr>
            <w:r w:rsidRPr="00EE780A">
              <w:rPr>
                <w:rFonts w:asciiTheme="minorHAnsi" w:hAnsiTheme="minorHAnsi" w:cstheme="minorHAnsi"/>
              </w:rPr>
              <w:t>Thinktank</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F612000" w14:textId="77777777" w:rsidR="006B7804" w:rsidRPr="00EE780A" w:rsidRDefault="006B7804" w:rsidP="00061242">
            <w:pPr>
              <w:spacing w:after="0" w:line="240" w:lineRule="auto"/>
              <w:rPr>
                <w:rFonts w:asciiTheme="minorHAnsi" w:hAnsiTheme="minorHAnsi" w:cstheme="minorHAnsi"/>
              </w:rPr>
            </w:pPr>
            <w:r w:rsidRPr="00EE780A">
              <w:rPr>
                <w:rFonts w:asciiTheme="minorHAnsi" w:hAnsiTheme="minorHAnsi" w:cstheme="minorHAnsi"/>
              </w:rPr>
              <w:t>Round 1</w:t>
            </w:r>
          </w:p>
        </w:tc>
        <w:tc>
          <w:tcPr>
            <w:tcW w:w="1701" w:type="dxa"/>
            <w:tcBorders>
              <w:top w:val="single" w:sz="8" w:space="0" w:color="000000"/>
              <w:left w:val="single" w:sz="8" w:space="0" w:color="000000"/>
              <w:bottom w:val="single" w:sz="8" w:space="0" w:color="000000"/>
              <w:right w:val="single" w:sz="8" w:space="0" w:color="000000"/>
            </w:tcBorders>
          </w:tcPr>
          <w:p w14:paraId="6C155173" w14:textId="77777777" w:rsidR="006B7804" w:rsidRPr="00EE780A" w:rsidRDefault="006B7804" w:rsidP="00061242">
            <w:pPr>
              <w:spacing w:after="0" w:line="240" w:lineRule="auto"/>
              <w:rPr>
                <w:rFonts w:asciiTheme="minorHAnsi" w:hAnsiTheme="minorHAnsi" w:cstheme="minorHAnsi"/>
                <w:b/>
                <w:bCs/>
              </w:rPr>
            </w:pPr>
            <w:r w:rsidRPr="00EE780A">
              <w:rPr>
                <w:rFonts w:asciiTheme="minorHAnsi" w:hAnsiTheme="minorHAnsi" w:cstheme="minorHAnsi"/>
                <w:b/>
                <w:bCs/>
              </w:rPr>
              <w:t>£1,411,150</w:t>
            </w:r>
          </w:p>
        </w:tc>
      </w:tr>
      <w:tr w:rsidR="006B7804" w:rsidRPr="00EE780A" w14:paraId="2DDCD66C" w14:textId="77777777" w:rsidTr="00061242">
        <w:trPr>
          <w:trHeight w:val="414"/>
        </w:trPr>
        <w:tc>
          <w:tcPr>
            <w:tcW w:w="62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9CCFEB0" w14:textId="77777777" w:rsidR="006B7804" w:rsidRPr="00EE780A" w:rsidRDefault="006B7804" w:rsidP="006B7804">
            <w:pPr>
              <w:pStyle w:val="ListParagraph"/>
              <w:numPr>
                <w:ilvl w:val="0"/>
                <w:numId w:val="2"/>
              </w:numPr>
              <w:spacing w:after="0"/>
              <w:rPr>
                <w:rFonts w:asciiTheme="minorHAnsi" w:hAnsiTheme="minorHAnsi" w:cstheme="minorHAnsi"/>
              </w:rPr>
            </w:pPr>
            <w:r w:rsidRPr="00EE780A">
              <w:rPr>
                <w:rFonts w:asciiTheme="minorHAnsi" w:hAnsiTheme="minorHAnsi" w:cstheme="minorHAnsi"/>
              </w:rPr>
              <w:t>W5, Belfast</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8539761" w14:textId="77777777" w:rsidR="006B7804" w:rsidRPr="00EE780A" w:rsidRDefault="006B7804" w:rsidP="00061242">
            <w:pPr>
              <w:spacing w:after="0" w:line="240" w:lineRule="auto"/>
              <w:rPr>
                <w:rFonts w:asciiTheme="minorHAnsi" w:hAnsiTheme="minorHAnsi" w:cstheme="minorHAnsi"/>
              </w:rPr>
            </w:pPr>
            <w:r w:rsidRPr="00EE780A">
              <w:rPr>
                <w:rFonts w:asciiTheme="minorHAnsi" w:hAnsiTheme="minorHAnsi" w:cstheme="minorHAnsi"/>
              </w:rPr>
              <w:t>Round 1</w:t>
            </w:r>
          </w:p>
        </w:tc>
        <w:tc>
          <w:tcPr>
            <w:tcW w:w="1701" w:type="dxa"/>
            <w:tcBorders>
              <w:top w:val="single" w:sz="8" w:space="0" w:color="000000"/>
              <w:left w:val="single" w:sz="8" w:space="0" w:color="000000"/>
              <w:bottom w:val="single" w:sz="8" w:space="0" w:color="000000"/>
              <w:right w:val="single" w:sz="8" w:space="0" w:color="000000"/>
            </w:tcBorders>
          </w:tcPr>
          <w:p w14:paraId="49E33E60" w14:textId="77777777" w:rsidR="006B7804" w:rsidRPr="00EE780A" w:rsidRDefault="006B7804" w:rsidP="00061242">
            <w:pPr>
              <w:spacing w:after="0" w:line="240" w:lineRule="auto"/>
              <w:rPr>
                <w:rFonts w:asciiTheme="minorHAnsi" w:hAnsiTheme="minorHAnsi" w:cstheme="minorHAnsi"/>
                <w:b/>
                <w:bCs/>
              </w:rPr>
            </w:pPr>
            <w:r w:rsidRPr="00EE780A">
              <w:rPr>
                <w:rFonts w:asciiTheme="minorHAnsi" w:hAnsiTheme="minorHAnsi" w:cstheme="minorHAnsi"/>
                <w:b/>
                <w:bCs/>
              </w:rPr>
              <w:t>£3,000,000</w:t>
            </w:r>
          </w:p>
        </w:tc>
      </w:tr>
      <w:tr w:rsidR="006B7804" w:rsidRPr="00EE780A" w14:paraId="0D842939" w14:textId="77777777" w:rsidTr="00061242">
        <w:tc>
          <w:tcPr>
            <w:tcW w:w="62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C1AB625" w14:textId="77777777" w:rsidR="006B7804" w:rsidRPr="00EE780A" w:rsidRDefault="006B7804" w:rsidP="006B7804">
            <w:pPr>
              <w:pStyle w:val="ListParagraph"/>
              <w:numPr>
                <w:ilvl w:val="0"/>
                <w:numId w:val="2"/>
              </w:numPr>
              <w:spacing w:after="0"/>
              <w:rPr>
                <w:rFonts w:asciiTheme="minorHAnsi" w:hAnsiTheme="minorHAnsi" w:cstheme="minorHAnsi"/>
              </w:rPr>
            </w:pPr>
            <w:r w:rsidRPr="00EE780A">
              <w:rPr>
                <w:rFonts w:asciiTheme="minorHAnsi" w:hAnsiTheme="minorHAnsi" w:cstheme="minorHAnsi"/>
              </w:rPr>
              <w:t>Catalyst Science and Discovery Centre</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7CA52CC" w14:textId="77777777" w:rsidR="006B7804" w:rsidRPr="00EE780A" w:rsidRDefault="006B7804" w:rsidP="00061242">
            <w:pPr>
              <w:spacing w:after="0" w:line="240" w:lineRule="auto"/>
              <w:rPr>
                <w:rFonts w:asciiTheme="minorHAnsi" w:hAnsiTheme="minorHAnsi" w:cstheme="minorHAnsi"/>
              </w:rPr>
            </w:pPr>
            <w:r w:rsidRPr="00EE780A">
              <w:rPr>
                <w:rFonts w:asciiTheme="minorHAnsi" w:hAnsiTheme="minorHAnsi" w:cstheme="minorHAnsi"/>
              </w:rPr>
              <w:t>Round 2</w:t>
            </w:r>
          </w:p>
        </w:tc>
        <w:tc>
          <w:tcPr>
            <w:tcW w:w="1701" w:type="dxa"/>
            <w:tcBorders>
              <w:top w:val="single" w:sz="8" w:space="0" w:color="000000"/>
              <w:left w:val="single" w:sz="8" w:space="0" w:color="000000"/>
              <w:bottom w:val="single" w:sz="8" w:space="0" w:color="000000"/>
              <w:right w:val="single" w:sz="8" w:space="0" w:color="000000"/>
            </w:tcBorders>
          </w:tcPr>
          <w:p w14:paraId="27D76681" w14:textId="77777777" w:rsidR="006B7804" w:rsidRPr="00EE780A" w:rsidRDefault="006B7804" w:rsidP="00061242">
            <w:pPr>
              <w:spacing w:after="0" w:line="240" w:lineRule="auto"/>
              <w:rPr>
                <w:rFonts w:asciiTheme="minorHAnsi" w:hAnsiTheme="minorHAnsi" w:cstheme="minorHAnsi"/>
                <w:b/>
                <w:bCs/>
              </w:rPr>
            </w:pPr>
            <w:r w:rsidRPr="00EE780A">
              <w:rPr>
                <w:rFonts w:asciiTheme="minorHAnsi" w:hAnsiTheme="minorHAnsi" w:cstheme="minorHAnsi"/>
                <w:b/>
                <w:bCs/>
              </w:rPr>
              <w:t>£754,600</w:t>
            </w:r>
          </w:p>
        </w:tc>
      </w:tr>
      <w:tr w:rsidR="006B7804" w:rsidRPr="00EE780A" w14:paraId="72DB8DB6" w14:textId="77777777" w:rsidTr="00061242">
        <w:tc>
          <w:tcPr>
            <w:tcW w:w="62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22E38B0" w14:textId="77777777" w:rsidR="006B7804" w:rsidRPr="00EE780A" w:rsidRDefault="006B7804" w:rsidP="006B7804">
            <w:pPr>
              <w:pStyle w:val="ListParagraph"/>
              <w:numPr>
                <w:ilvl w:val="0"/>
                <w:numId w:val="2"/>
              </w:numPr>
              <w:spacing w:after="0"/>
              <w:rPr>
                <w:rFonts w:asciiTheme="minorHAnsi" w:hAnsiTheme="minorHAnsi" w:cstheme="minorHAnsi"/>
              </w:rPr>
            </w:pPr>
            <w:r w:rsidRPr="00EE780A">
              <w:rPr>
                <w:rFonts w:asciiTheme="minorHAnsi" w:hAnsiTheme="minorHAnsi" w:cstheme="minorHAnsi"/>
              </w:rPr>
              <w:t>Dundee Science Centre</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2418EA1" w14:textId="77777777" w:rsidR="006B7804" w:rsidRPr="00EE780A" w:rsidRDefault="006B7804" w:rsidP="00061242">
            <w:pPr>
              <w:spacing w:after="0" w:line="240" w:lineRule="auto"/>
              <w:rPr>
                <w:rFonts w:asciiTheme="minorHAnsi" w:hAnsiTheme="minorHAnsi" w:cstheme="minorHAnsi"/>
                <w:b/>
                <w:bCs/>
              </w:rPr>
            </w:pPr>
            <w:r w:rsidRPr="00EE780A">
              <w:rPr>
                <w:rFonts w:asciiTheme="minorHAnsi" w:hAnsiTheme="minorHAnsi" w:cstheme="minorHAnsi"/>
              </w:rPr>
              <w:t>Round 2</w:t>
            </w:r>
          </w:p>
        </w:tc>
        <w:tc>
          <w:tcPr>
            <w:tcW w:w="1701" w:type="dxa"/>
            <w:tcBorders>
              <w:top w:val="single" w:sz="8" w:space="0" w:color="000000"/>
              <w:left w:val="single" w:sz="8" w:space="0" w:color="000000"/>
              <w:bottom w:val="single" w:sz="8" w:space="0" w:color="000000"/>
              <w:right w:val="single" w:sz="8" w:space="0" w:color="000000"/>
            </w:tcBorders>
          </w:tcPr>
          <w:p w14:paraId="08099666" w14:textId="77777777" w:rsidR="006B7804" w:rsidRPr="00EE780A" w:rsidRDefault="006B7804" w:rsidP="00061242">
            <w:pPr>
              <w:spacing w:after="0" w:line="240" w:lineRule="auto"/>
              <w:rPr>
                <w:rFonts w:asciiTheme="minorHAnsi" w:hAnsiTheme="minorHAnsi" w:cstheme="minorHAnsi"/>
                <w:b/>
                <w:bCs/>
              </w:rPr>
            </w:pPr>
            <w:r w:rsidRPr="00EE780A">
              <w:rPr>
                <w:rFonts w:asciiTheme="minorHAnsi" w:hAnsiTheme="minorHAnsi" w:cstheme="minorHAnsi"/>
                <w:b/>
                <w:bCs/>
              </w:rPr>
              <w:t>£1,455,440</w:t>
            </w:r>
          </w:p>
        </w:tc>
      </w:tr>
      <w:tr w:rsidR="006B7804" w:rsidRPr="00EE780A" w14:paraId="063721D9" w14:textId="77777777" w:rsidTr="00061242">
        <w:tc>
          <w:tcPr>
            <w:tcW w:w="62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BD863F8" w14:textId="77777777" w:rsidR="006B7804" w:rsidRPr="00EE780A" w:rsidRDefault="006B7804" w:rsidP="006B7804">
            <w:pPr>
              <w:pStyle w:val="ListParagraph"/>
              <w:numPr>
                <w:ilvl w:val="0"/>
                <w:numId w:val="2"/>
              </w:numPr>
              <w:spacing w:after="0"/>
              <w:rPr>
                <w:rFonts w:asciiTheme="minorHAnsi" w:hAnsiTheme="minorHAnsi" w:cstheme="minorHAnsi"/>
              </w:rPr>
            </w:pPr>
            <w:r w:rsidRPr="00EE780A">
              <w:rPr>
                <w:rFonts w:asciiTheme="minorHAnsi" w:hAnsiTheme="minorHAnsi" w:cstheme="minorHAnsi"/>
              </w:rPr>
              <w:t>Eureka!</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7800DD0" w14:textId="77777777" w:rsidR="006B7804" w:rsidRPr="00EE780A" w:rsidRDefault="006B7804" w:rsidP="00061242">
            <w:pPr>
              <w:spacing w:after="0" w:line="240" w:lineRule="auto"/>
              <w:rPr>
                <w:rFonts w:asciiTheme="minorHAnsi" w:hAnsiTheme="minorHAnsi" w:cstheme="minorHAnsi"/>
              </w:rPr>
            </w:pPr>
            <w:r w:rsidRPr="00EE780A">
              <w:rPr>
                <w:rFonts w:asciiTheme="minorHAnsi" w:hAnsiTheme="minorHAnsi" w:cstheme="minorHAnsi"/>
              </w:rPr>
              <w:t>Round 2</w:t>
            </w:r>
          </w:p>
        </w:tc>
        <w:tc>
          <w:tcPr>
            <w:tcW w:w="1701" w:type="dxa"/>
            <w:tcBorders>
              <w:top w:val="single" w:sz="8" w:space="0" w:color="000000"/>
              <w:left w:val="single" w:sz="8" w:space="0" w:color="000000"/>
              <w:bottom w:val="single" w:sz="8" w:space="0" w:color="000000"/>
              <w:right w:val="single" w:sz="8" w:space="0" w:color="000000"/>
            </w:tcBorders>
          </w:tcPr>
          <w:p w14:paraId="369ED3FB" w14:textId="77777777" w:rsidR="006B7804" w:rsidRPr="00EE780A" w:rsidRDefault="006B7804" w:rsidP="00061242">
            <w:pPr>
              <w:spacing w:after="0" w:line="240" w:lineRule="auto"/>
              <w:rPr>
                <w:rFonts w:asciiTheme="minorHAnsi" w:hAnsiTheme="minorHAnsi" w:cstheme="minorHAnsi"/>
                <w:b/>
                <w:bCs/>
              </w:rPr>
            </w:pPr>
            <w:r w:rsidRPr="00EE780A">
              <w:rPr>
                <w:rFonts w:asciiTheme="minorHAnsi" w:hAnsiTheme="minorHAnsi" w:cstheme="minorHAnsi"/>
                <w:b/>
                <w:bCs/>
              </w:rPr>
              <w:t>£3,000,000</w:t>
            </w:r>
          </w:p>
        </w:tc>
      </w:tr>
      <w:tr w:rsidR="006B7804" w:rsidRPr="00EE780A" w14:paraId="0633236B" w14:textId="77777777" w:rsidTr="00061242">
        <w:trPr>
          <w:trHeight w:val="380"/>
        </w:trPr>
        <w:tc>
          <w:tcPr>
            <w:tcW w:w="62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C1A3742" w14:textId="77777777" w:rsidR="006B7804" w:rsidRPr="00EE780A" w:rsidRDefault="006B7804" w:rsidP="006B7804">
            <w:pPr>
              <w:pStyle w:val="ListParagraph"/>
              <w:numPr>
                <w:ilvl w:val="0"/>
                <w:numId w:val="2"/>
              </w:numPr>
              <w:spacing w:after="0"/>
              <w:rPr>
                <w:rFonts w:asciiTheme="minorHAnsi" w:hAnsiTheme="minorHAnsi" w:cstheme="minorHAnsi"/>
              </w:rPr>
            </w:pPr>
            <w:r w:rsidRPr="00EE780A">
              <w:rPr>
                <w:rFonts w:asciiTheme="minorHAnsi" w:hAnsiTheme="minorHAnsi" w:cstheme="minorHAnsi"/>
              </w:rPr>
              <w:t>Glasgow Science Centre</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4C6A602" w14:textId="77777777" w:rsidR="006B7804" w:rsidRPr="00EE780A" w:rsidRDefault="006B7804" w:rsidP="00061242">
            <w:pPr>
              <w:spacing w:after="0" w:line="240" w:lineRule="auto"/>
              <w:rPr>
                <w:rFonts w:asciiTheme="minorHAnsi" w:hAnsiTheme="minorHAnsi" w:cstheme="minorHAnsi"/>
              </w:rPr>
            </w:pPr>
            <w:r w:rsidRPr="00EE780A">
              <w:rPr>
                <w:rFonts w:asciiTheme="minorHAnsi" w:hAnsiTheme="minorHAnsi" w:cstheme="minorHAnsi"/>
              </w:rPr>
              <w:t>Round 2</w:t>
            </w:r>
          </w:p>
        </w:tc>
        <w:tc>
          <w:tcPr>
            <w:tcW w:w="1701" w:type="dxa"/>
            <w:tcBorders>
              <w:top w:val="single" w:sz="8" w:space="0" w:color="000000"/>
              <w:left w:val="single" w:sz="8" w:space="0" w:color="000000"/>
              <w:bottom w:val="single" w:sz="8" w:space="0" w:color="000000"/>
              <w:right w:val="single" w:sz="8" w:space="0" w:color="000000"/>
            </w:tcBorders>
          </w:tcPr>
          <w:p w14:paraId="33DB7C0F" w14:textId="77777777" w:rsidR="006B7804" w:rsidRPr="00EE780A" w:rsidRDefault="006B7804" w:rsidP="00061242">
            <w:pPr>
              <w:spacing w:after="0" w:line="240" w:lineRule="auto"/>
              <w:rPr>
                <w:rFonts w:asciiTheme="minorHAnsi" w:hAnsiTheme="minorHAnsi" w:cstheme="minorHAnsi"/>
                <w:b/>
                <w:bCs/>
              </w:rPr>
            </w:pPr>
            <w:r w:rsidRPr="00EE780A">
              <w:rPr>
                <w:rFonts w:asciiTheme="minorHAnsi" w:hAnsiTheme="minorHAnsi" w:cstheme="minorHAnsi"/>
                <w:b/>
                <w:bCs/>
              </w:rPr>
              <w:t>£2,876,401</w:t>
            </w:r>
          </w:p>
        </w:tc>
      </w:tr>
      <w:tr w:rsidR="006B7804" w:rsidRPr="00EE780A" w14:paraId="5CA17DF6" w14:textId="77777777" w:rsidTr="00061242">
        <w:tc>
          <w:tcPr>
            <w:tcW w:w="62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2E27CC9" w14:textId="77777777" w:rsidR="006B7804" w:rsidRPr="00EE780A" w:rsidRDefault="006B7804" w:rsidP="006B7804">
            <w:pPr>
              <w:pStyle w:val="ListParagraph"/>
              <w:numPr>
                <w:ilvl w:val="0"/>
                <w:numId w:val="2"/>
              </w:numPr>
              <w:spacing w:after="0"/>
              <w:rPr>
                <w:rFonts w:asciiTheme="minorHAnsi" w:hAnsiTheme="minorHAnsi" w:cstheme="minorHAnsi"/>
              </w:rPr>
            </w:pPr>
            <w:r w:rsidRPr="00EE780A">
              <w:rPr>
                <w:rFonts w:asciiTheme="minorHAnsi" w:hAnsiTheme="minorHAnsi" w:cstheme="minorHAnsi"/>
              </w:rPr>
              <w:lastRenderedPageBreak/>
              <w:t>Techniquest</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5DA1EB5" w14:textId="77777777" w:rsidR="006B7804" w:rsidRPr="00EE780A" w:rsidRDefault="006B7804" w:rsidP="00061242">
            <w:pPr>
              <w:spacing w:after="0" w:line="240" w:lineRule="auto"/>
              <w:rPr>
                <w:rFonts w:asciiTheme="minorHAnsi" w:hAnsiTheme="minorHAnsi" w:cstheme="minorHAnsi"/>
              </w:rPr>
            </w:pPr>
            <w:r w:rsidRPr="00EE780A">
              <w:rPr>
                <w:rFonts w:asciiTheme="minorHAnsi" w:hAnsiTheme="minorHAnsi" w:cstheme="minorHAnsi"/>
              </w:rPr>
              <w:t>Round 2</w:t>
            </w:r>
          </w:p>
        </w:tc>
        <w:tc>
          <w:tcPr>
            <w:tcW w:w="1701" w:type="dxa"/>
            <w:tcBorders>
              <w:top w:val="single" w:sz="8" w:space="0" w:color="000000"/>
              <w:left w:val="single" w:sz="8" w:space="0" w:color="000000"/>
              <w:bottom w:val="single" w:sz="8" w:space="0" w:color="000000"/>
              <w:right w:val="single" w:sz="8" w:space="0" w:color="000000"/>
            </w:tcBorders>
          </w:tcPr>
          <w:p w14:paraId="4BD8F0FA" w14:textId="77777777" w:rsidR="006B7804" w:rsidRPr="00EE780A" w:rsidRDefault="006B7804" w:rsidP="00061242">
            <w:pPr>
              <w:spacing w:after="0" w:line="240" w:lineRule="auto"/>
              <w:rPr>
                <w:rFonts w:asciiTheme="minorHAnsi" w:hAnsiTheme="minorHAnsi" w:cstheme="minorHAnsi"/>
                <w:b/>
                <w:bCs/>
              </w:rPr>
            </w:pPr>
            <w:r w:rsidRPr="00EE780A">
              <w:rPr>
                <w:rFonts w:asciiTheme="minorHAnsi" w:hAnsiTheme="minorHAnsi" w:cstheme="minorHAnsi"/>
                <w:b/>
                <w:bCs/>
              </w:rPr>
              <w:t>£3,000,000</w:t>
            </w:r>
          </w:p>
        </w:tc>
      </w:tr>
      <w:tr w:rsidR="006B7804" w:rsidRPr="00EE780A" w14:paraId="0DF40E64" w14:textId="77777777" w:rsidTr="00061242">
        <w:tc>
          <w:tcPr>
            <w:tcW w:w="62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A6A29B9" w14:textId="77777777" w:rsidR="006B7804" w:rsidRPr="00EE780A" w:rsidRDefault="006B7804" w:rsidP="006B7804">
            <w:pPr>
              <w:pStyle w:val="ListParagraph"/>
              <w:numPr>
                <w:ilvl w:val="0"/>
                <w:numId w:val="2"/>
              </w:numPr>
              <w:spacing w:after="0"/>
              <w:rPr>
                <w:rFonts w:asciiTheme="minorHAnsi" w:hAnsiTheme="minorHAnsi" w:cstheme="minorHAnsi"/>
              </w:rPr>
            </w:pPr>
            <w:r w:rsidRPr="00EE780A">
              <w:rPr>
                <w:rFonts w:asciiTheme="minorHAnsi" w:hAnsiTheme="minorHAnsi" w:cstheme="minorHAnsi"/>
              </w:rPr>
              <w:t>National Space Centre</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5CF7281" w14:textId="77777777" w:rsidR="006B7804" w:rsidRPr="00EE780A" w:rsidRDefault="006B7804" w:rsidP="00061242">
            <w:pPr>
              <w:spacing w:after="0" w:line="240" w:lineRule="auto"/>
              <w:rPr>
                <w:rFonts w:asciiTheme="minorHAnsi" w:hAnsiTheme="minorHAnsi" w:cstheme="minorHAnsi"/>
              </w:rPr>
            </w:pPr>
            <w:r w:rsidRPr="00EE780A">
              <w:rPr>
                <w:rFonts w:asciiTheme="minorHAnsi" w:hAnsiTheme="minorHAnsi" w:cstheme="minorHAnsi"/>
              </w:rPr>
              <w:t>Round 2</w:t>
            </w:r>
          </w:p>
        </w:tc>
        <w:tc>
          <w:tcPr>
            <w:tcW w:w="1701" w:type="dxa"/>
            <w:tcBorders>
              <w:top w:val="single" w:sz="8" w:space="0" w:color="000000"/>
              <w:left w:val="single" w:sz="8" w:space="0" w:color="000000"/>
              <w:bottom w:val="single" w:sz="8" w:space="0" w:color="000000"/>
              <w:right w:val="single" w:sz="8" w:space="0" w:color="000000"/>
            </w:tcBorders>
          </w:tcPr>
          <w:p w14:paraId="52687F9A" w14:textId="77777777" w:rsidR="006B7804" w:rsidRPr="00EE780A" w:rsidRDefault="006B7804" w:rsidP="00061242">
            <w:pPr>
              <w:spacing w:after="0" w:line="240" w:lineRule="auto"/>
              <w:rPr>
                <w:rFonts w:asciiTheme="minorHAnsi" w:hAnsiTheme="minorHAnsi" w:cstheme="minorHAnsi"/>
                <w:b/>
                <w:bCs/>
              </w:rPr>
            </w:pPr>
            <w:r w:rsidRPr="00EE780A">
              <w:rPr>
                <w:rFonts w:asciiTheme="minorHAnsi" w:hAnsiTheme="minorHAnsi" w:cstheme="minorHAnsi"/>
                <w:b/>
                <w:bCs/>
              </w:rPr>
              <w:t>£1,880,000</w:t>
            </w:r>
          </w:p>
        </w:tc>
      </w:tr>
      <w:tr w:rsidR="006B7804" w:rsidRPr="00EE780A" w14:paraId="38DBF5FD" w14:textId="77777777" w:rsidTr="00061242">
        <w:trPr>
          <w:trHeight w:val="414"/>
        </w:trPr>
        <w:tc>
          <w:tcPr>
            <w:tcW w:w="62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6D8C4D4" w14:textId="77777777" w:rsidR="006B7804" w:rsidRPr="00EE780A" w:rsidRDefault="006B7804" w:rsidP="006B7804">
            <w:pPr>
              <w:pStyle w:val="ListParagraph"/>
              <w:numPr>
                <w:ilvl w:val="0"/>
                <w:numId w:val="2"/>
              </w:numPr>
              <w:spacing w:after="0"/>
              <w:rPr>
                <w:rFonts w:asciiTheme="minorHAnsi" w:hAnsiTheme="minorHAnsi" w:cstheme="minorHAnsi"/>
              </w:rPr>
            </w:pPr>
            <w:r w:rsidRPr="00EE780A">
              <w:rPr>
                <w:rFonts w:asciiTheme="minorHAnsi" w:hAnsiTheme="minorHAnsi" w:cstheme="minorHAnsi"/>
              </w:rPr>
              <w:t>Techniquest Glyndw</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503E331" w14:textId="77777777" w:rsidR="006B7804" w:rsidRPr="00EE780A" w:rsidRDefault="006B7804" w:rsidP="00061242">
            <w:pPr>
              <w:spacing w:after="0" w:line="240" w:lineRule="auto"/>
              <w:rPr>
                <w:rFonts w:asciiTheme="minorHAnsi" w:hAnsiTheme="minorHAnsi" w:cstheme="minorHAnsi"/>
              </w:rPr>
            </w:pPr>
            <w:r w:rsidRPr="00EE780A">
              <w:rPr>
                <w:rFonts w:asciiTheme="minorHAnsi" w:hAnsiTheme="minorHAnsi" w:cstheme="minorHAnsi"/>
              </w:rPr>
              <w:t xml:space="preserve">Round 2 </w:t>
            </w:r>
          </w:p>
        </w:tc>
        <w:tc>
          <w:tcPr>
            <w:tcW w:w="1701" w:type="dxa"/>
            <w:tcBorders>
              <w:top w:val="single" w:sz="8" w:space="0" w:color="000000"/>
              <w:left w:val="single" w:sz="8" w:space="0" w:color="000000"/>
              <w:bottom w:val="single" w:sz="8" w:space="0" w:color="000000"/>
              <w:right w:val="single" w:sz="8" w:space="0" w:color="000000"/>
            </w:tcBorders>
          </w:tcPr>
          <w:p w14:paraId="212F910A" w14:textId="77777777" w:rsidR="006B7804" w:rsidRPr="00EE780A" w:rsidRDefault="006B7804" w:rsidP="00061242">
            <w:pPr>
              <w:spacing w:after="0" w:line="240" w:lineRule="auto"/>
              <w:rPr>
                <w:rFonts w:asciiTheme="minorHAnsi" w:hAnsiTheme="minorHAnsi" w:cstheme="minorHAnsi"/>
                <w:b/>
                <w:bCs/>
              </w:rPr>
            </w:pPr>
            <w:r w:rsidRPr="00EE780A">
              <w:rPr>
                <w:rFonts w:asciiTheme="minorHAnsi" w:hAnsiTheme="minorHAnsi" w:cstheme="minorHAnsi"/>
                <w:b/>
                <w:bCs/>
              </w:rPr>
              <w:t>£1,750,000</w:t>
            </w:r>
          </w:p>
        </w:tc>
      </w:tr>
    </w:tbl>
    <w:p w14:paraId="6978BE14" w14:textId="77777777" w:rsidR="006B7804" w:rsidRPr="00EE780A" w:rsidRDefault="006B7804" w:rsidP="006B7804">
      <w:pPr>
        <w:pStyle w:val="Heading2"/>
        <w:rPr>
          <w:rFonts w:asciiTheme="minorHAnsi" w:hAnsiTheme="minorHAnsi" w:cstheme="minorHAnsi"/>
        </w:rPr>
      </w:pPr>
      <w:bookmarkStart w:id="5" w:name="_Toc25879363"/>
      <w:bookmarkEnd w:id="1"/>
      <w:r w:rsidRPr="00EE780A">
        <w:rPr>
          <w:rFonts w:asciiTheme="minorHAnsi" w:hAnsiTheme="minorHAnsi" w:cstheme="minorHAnsi"/>
        </w:rPr>
        <w:lastRenderedPageBreak/>
        <w:t>Map of the 12 UK Science Centres funded by The Inspiring Science Fund</w:t>
      </w:r>
      <w:bookmarkEnd w:id="5"/>
    </w:p>
    <w:p w14:paraId="5820F6EE" w14:textId="77777777" w:rsidR="006B7804" w:rsidRPr="00EE780A" w:rsidRDefault="006B7804" w:rsidP="006B7804">
      <w:pPr>
        <w:ind w:hanging="567"/>
        <w:rPr>
          <w:rFonts w:asciiTheme="minorHAnsi" w:hAnsiTheme="minorHAnsi" w:cstheme="minorHAnsi"/>
          <w:noProof/>
          <w:lang w:eastAsia="en-GB"/>
        </w:rPr>
      </w:pPr>
      <w:r w:rsidRPr="00EE780A">
        <w:rPr>
          <w:noProof/>
          <w:lang w:eastAsia="en-GB"/>
        </w:rPr>
        <w:drawing>
          <wp:inline distT="0" distB="0" distL="0" distR="0" wp14:anchorId="03ADF75C" wp14:editId="43F7314E">
            <wp:extent cx="6524625" cy="84431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7045" t="3504" b="22731"/>
                    <a:stretch/>
                  </pic:blipFill>
                  <pic:spPr bwMode="auto">
                    <a:xfrm>
                      <a:off x="0" y="0"/>
                      <a:ext cx="6528152" cy="8447709"/>
                    </a:xfrm>
                    <a:prstGeom prst="rect">
                      <a:avLst/>
                    </a:prstGeom>
                    <a:noFill/>
                    <a:ln>
                      <a:noFill/>
                    </a:ln>
                    <a:extLst>
                      <a:ext uri="{53640926-AAD7-44D8-BBD7-CCE9431645EC}">
                        <a14:shadowObscured xmlns:a14="http://schemas.microsoft.com/office/drawing/2010/main"/>
                      </a:ext>
                    </a:extLst>
                  </pic:spPr>
                </pic:pic>
              </a:graphicData>
            </a:graphic>
          </wp:inline>
        </w:drawing>
      </w:r>
    </w:p>
    <w:p w14:paraId="47B76059" w14:textId="433BF0AF" w:rsidR="00CF34A6" w:rsidRPr="00CF34A6" w:rsidRDefault="00CF34A6" w:rsidP="00CF34A6">
      <w:pPr>
        <w:keepNext/>
        <w:keepLines/>
        <w:spacing w:before="480" w:line="240" w:lineRule="auto"/>
        <w:outlineLvl w:val="0"/>
        <w:rPr>
          <w:rFonts w:cs="Calibri"/>
          <w:b/>
          <w:bCs/>
          <w:color w:val="365F91"/>
          <w:sz w:val="32"/>
          <w:szCs w:val="28"/>
        </w:rPr>
      </w:pPr>
      <w:bookmarkStart w:id="6" w:name="_Toc25879359"/>
      <w:r w:rsidRPr="00CF34A6">
        <w:rPr>
          <w:rFonts w:cs="Calibri"/>
          <w:b/>
          <w:bCs/>
          <w:color w:val="365F91"/>
          <w:sz w:val="32"/>
          <w:szCs w:val="28"/>
        </w:rPr>
        <w:lastRenderedPageBreak/>
        <w:t>Eligibility Criteria: Which Science Centres c</w:t>
      </w:r>
      <w:r>
        <w:rPr>
          <w:rFonts w:cs="Calibri"/>
          <w:b/>
          <w:bCs/>
          <w:color w:val="365F91"/>
          <w:sz w:val="32"/>
          <w:szCs w:val="28"/>
        </w:rPr>
        <w:t>ould</w:t>
      </w:r>
      <w:r w:rsidRPr="00CF34A6">
        <w:rPr>
          <w:rFonts w:cs="Calibri"/>
          <w:b/>
          <w:bCs/>
          <w:color w:val="365F91"/>
          <w:sz w:val="32"/>
          <w:szCs w:val="28"/>
        </w:rPr>
        <w:t xml:space="preserve"> apply?</w:t>
      </w:r>
      <w:bookmarkEnd w:id="6"/>
    </w:p>
    <w:p w14:paraId="2629E9D3" w14:textId="77777777" w:rsidR="00CF34A6" w:rsidRPr="00CF34A6" w:rsidRDefault="00CF34A6" w:rsidP="00CF34A6">
      <w:pPr>
        <w:rPr>
          <w:rFonts w:cs="Calibri"/>
          <w:lang w:val="en"/>
        </w:rPr>
      </w:pPr>
      <w:r w:rsidRPr="00CF34A6">
        <w:rPr>
          <w:rFonts w:cs="Calibri"/>
          <w:lang w:val="en"/>
        </w:rPr>
        <w:t>The Inspiring Science Fund was created in 2015 initially to support the UK’s world-leading Science Centres with capital investment, as since their creation they had been mainly ineligible for capital investment from the other cultural funds such as HLF and the Arts Council.</w:t>
      </w:r>
    </w:p>
    <w:p w14:paraId="30FC0717" w14:textId="5A4F6DC9" w:rsidR="00CF34A6" w:rsidRPr="00CF34A6" w:rsidRDefault="00CF34A6" w:rsidP="00CF34A6">
      <w:pPr>
        <w:rPr>
          <w:rFonts w:cs="Calibri"/>
          <w:lang w:val="en"/>
        </w:rPr>
      </w:pPr>
      <w:r w:rsidRPr="00CF34A6">
        <w:rPr>
          <w:lang w:val="en"/>
        </w:rPr>
        <w:t xml:space="preserve">Science Centre’s </w:t>
      </w:r>
      <w:r>
        <w:rPr>
          <w:lang w:val="en"/>
        </w:rPr>
        <w:t>were</w:t>
      </w:r>
      <w:r w:rsidRPr="00CF34A6">
        <w:rPr>
          <w:lang w:val="en"/>
        </w:rPr>
        <w:t xml:space="preserve"> eligible to apply for funding if they </w:t>
      </w:r>
      <w:r>
        <w:rPr>
          <w:lang w:val="en"/>
        </w:rPr>
        <w:t>could</w:t>
      </w:r>
      <w:r w:rsidRPr="00CF34A6">
        <w:rPr>
          <w:lang w:val="en"/>
        </w:rPr>
        <w:t xml:space="preserve"> show:</w:t>
      </w:r>
    </w:p>
    <w:p w14:paraId="4FA8C31D" w14:textId="77777777" w:rsidR="00CF34A6" w:rsidRPr="00CF34A6" w:rsidRDefault="00CF34A6" w:rsidP="00CF34A6">
      <w:pPr>
        <w:numPr>
          <w:ilvl w:val="0"/>
          <w:numId w:val="6"/>
        </w:numPr>
        <w:contextualSpacing/>
        <w:rPr>
          <w:rFonts w:eastAsia="Times New Roman"/>
          <w:lang w:val="en"/>
        </w:rPr>
      </w:pPr>
      <w:r w:rsidRPr="00CF34A6">
        <w:rPr>
          <w:rFonts w:eastAsia="Times New Roman"/>
          <w:lang w:val="en"/>
        </w:rPr>
        <w:t>They attract a minimum of 30,000 public visitors a year</w:t>
      </w:r>
    </w:p>
    <w:p w14:paraId="18520D7F" w14:textId="77777777" w:rsidR="00CF34A6" w:rsidRPr="00CF34A6" w:rsidRDefault="00CF34A6" w:rsidP="00CF34A6">
      <w:pPr>
        <w:numPr>
          <w:ilvl w:val="0"/>
          <w:numId w:val="6"/>
        </w:numPr>
        <w:contextualSpacing/>
        <w:rPr>
          <w:rFonts w:eastAsia="Times New Roman"/>
          <w:lang w:val="en"/>
        </w:rPr>
      </w:pPr>
      <w:bookmarkStart w:id="7" w:name="_Hlk20486009"/>
      <w:r w:rsidRPr="00CF34A6">
        <w:rPr>
          <w:rFonts w:eastAsia="Times New Roman"/>
          <w:lang w:val="en"/>
        </w:rPr>
        <w:t>They have a STEM venue that is accessible to the public and / or schools for most days of the year.</w:t>
      </w:r>
    </w:p>
    <w:bookmarkEnd w:id="7"/>
    <w:p w14:paraId="1EDC9270" w14:textId="77777777" w:rsidR="00CF34A6" w:rsidRPr="00CF34A6" w:rsidRDefault="00CF34A6" w:rsidP="00CF34A6">
      <w:pPr>
        <w:numPr>
          <w:ilvl w:val="0"/>
          <w:numId w:val="6"/>
        </w:numPr>
        <w:contextualSpacing/>
        <w:rPr>
          <w:rFonts w:eastAsia="Times New Roman"/>
          <w:lang w:val="en"/>
        </w:rPr>
      </w:pPr>
      <w:r w:rsidRPr="00CF34A6">
        <w:rPr>
          <w:rFonts w:eastAsia="Times New Roman"/>
          <w:lang w:val="en"/>
        </w:rPr>
        <w:t>They have been in existence for at least one year</w:t>
      </w:r>
    </w:p>
    <w:p w14:paraId="0EEA893D" w14:textId="77777777" w:rsidR="00CF34A6" w:rsidRPr="00CF34A6" w:rsidRDefault="00CF34A6" w:rsidP="00CF34A6">
      <w:pPr>
        <w:numPr>
          <w:ilvl w:val="0"/>
          <w:numId w:val="6"/>
        </w:numPr>
        <w:contextualSpacing/>
        <w:rPr>
          <w:rFonts w:eastAsia="Times New Roman"/>
          <w:lang w:val="en"/>
        </w:rPr>
      </w:pPr>
      <w:r w:rsidRPr="00CF34A6">
        <w:rPr>
          <w:rFonts w:eastAsia="Times New Roman"/>
          <w:lang w:val="en"/>
        </w:rPr>
        <w:t>They have a proven and viable business model</w:t>
      </w:r>
    </w:p>
    <w:p w14:paraId="569FA5A0" w14:textId="77777777" w:rsidR="00CF34A6" w:rsidRPr="00CF34A6" w:rsidRDefault="00CF34A6" w:rsidP="00CF34A6">
      <w:pPr>
        <w:numPr>
          <w:ilvl w:val="0"/>
          <w:numId w:val="6"/>
        </w:numPr>
        <w:contextualSpacing/>
        <w:rPr>
          <w:rFonts w:eastAsia="Times New Roman"/>
          <w:lang w:val="en"/>
        </w:rPr>
      </w:pPr>
      <w:r w:rsidRPr="00CF34A6">
        <w:rPr>
          <w:rFonts w:eastAsia="Times New Roman"/>
          <w:lang w:val="en"/>
        </w:rPr>
        <w:t xml:space="preserve">Although the </w:t>
      </w:r>
      <w:r w:rsidRPr="00CF34A6">
        <w:rPr>
          <w:lang w:val="en"/>
        </w:rPr>
        <w:t>centres do not need to be a member of the UK Association for Science and Discovery Centres, applicants will need to demonstrate how they are sharing knowledge, best practice and the latest ideas with colleagues nationally in an on-going and effective manner.</w:t>
      </w:r>
    </w:p>
    <w:p w14:paraId="45A1DB5E" w14:textId="77777777" w:rsidR="00CF34A6" w:rsidRPr="00CF34A6" w:rsidRDefault="00CF34A6" w:rsidP="00CF34A6">
      <w:pPr>
        <w:numPr>
          <w:ilvl w:val="0"/>
          <w:numId w:val="6"/>
        </w:numPr>
        <w:contextualSpacing/>
        <w:rPr>
          <w:rFonts w:eastAsia="Times New Roman"/>
          <w:lang w:val="en"/>
        </w:rPr>
      </w:pPr>
      <w:r w:rsidRPr="00CF34A6">
        <w:rPr>
          <w:lang w:val="en"/>
        </w:rPr>
        <w:t>Zoos are not the target for this programme.</w:t>
      </w:r>
    </w:p>
    <w:p w14:paraId="6D6982BB" w14:textId="77777777" w:rsidR="00CF34A6" w:rsidRPr="00CF34A6" w:rsidRDefault="00CF34A6" w:rsidP="00CF34A6">
      <w:pPr>
        <w:rPr>
          <w:b/>
          <w:bCs/>
          <w:lang w:val="en"/>
        </w:rPr>
      </w:pPr>
      <w:r w:rsidRPr="00CF34A6">
        <w:rPr>
          <w:b/>
          <w:bCs/>
          <w:lang w:val="en"/>
        </w:rPr>
        <w:t>For clarification the following organisations will not be eligible to apply:</w:t>
      </w:r>
    </w:p>
    <w:p w14:paraId="03C93B1F" w14:textId="77777777" w:rsidR="00CF34A6" w:rsidRPr="00CF34A6" w:rsidRDefault="00CF34A6" w:rsidP="00CF34A6">
      <w:pPr>
        <w:numPr>
          <w:ilvl w:val="0"/>
          <w:numId w:val="4"/>
        </w:numPr>
        <w:spacing w:after="0"/>
        <w:rPr>
          <w:rFonts w:eastAsia="Times New Roman" w:cs="Calibri"/>
          <w:lang w:val="en"/>
        </w:rPr>
      </w:pPr>
      <w:r w:rsidRPr="00CF34A6">
        <w:rPr>
          <w:rFonts w:eastAsia="Times New Roman" w:cs="Calibri"/>
          <w:lang w:val="en"/>
        </w:rPr>
        <w:t>UK national museums, and museums sponsored by central Government</w:t>
      </w:r>
    </w:p>
    <w:p w14:paraId="59EDB90D" w14:textId="77777777" w:rsidR="00CF34A6" w:rsidRPr="00CF34A6" w:rsidRDefault="00CF34A6" w:rsidP="00CF34A6">
      <w:pPr>
        <w:numPr>
          <w:ilvl w:val="0"/>
          <w:numId w:val="4"/>
        </w:numPr>
        <w:spacing w:after="0"/>
        <w:rPr>
          <w:rFonts w:eastAsia="Times New Roman" w:cs="Calibri"/>
          <w:lang w:val="en"/>
        </w:rPr>
      </w:pPr>
      <w:r w:rsidRPr="00CF34A6">
        <w:rPr>
          <w:rFonts w:eastAsia="Times New Roman" w:cs="Calibri"/>
          <w:lang w:val="en"/>
        </w:rPr>
        <w:t>Projects eligible for capital funding from the Heritage Lottery Fund, Big Lottery Fund, Arts Council England, Arts Council for Wales, Arts Council of Northern Ireland and Creative Scotland.</w:t>
      </w:r>
    </w:p>
    <w:p w14:paraId="0FE108AF" w14:textId="5287A4B1" w:rsidR="00CF34A6" w:rsidRPr="00CF34A6" w:rsidRDefault="00CF34A6" w:rsidP="00CF34A6">
      <w:pPr>
        <w:numPr>
          <w:ilvl w:val="0"/>
          <w:numId w:val="4"/>
        </w:numPr>
        <w:spacing w:after="0"/>
        <w:rPr>
          <w:rFonts w:eastAsia="Times New Roman" w:cs="Calibri"/>
          <w:lang w:val="en"/>
        </w:rPr>
      </w:pPr>
      <w:r w:rsidRPr="00CF34A6">
        <w:rPr>
          <w:rFonts w:cs="Calibri"/>
          <w:lang w:val="en"/>
        </w:rPr>
        <w:t xml:space="preserve">Capital projects dedicated to engaging the public </w:t>
      </w:r>
      <w:r>
        <w:rPr>
          <w:rFonts w:cs="Calibri"/>
          <w:lang w:val="en"/>
        </w:rPr>
        <w:t>through</w:t>
      </w:r>
      <w:r w:rsidRPr="00CF34A6">
        <w:rPr>
          <w:rFonts w:cs="Calibri"/>
          <w:lang w:val="en"/>
        </w:rPr>
        <w:t xml:space="preserve"> historic collections.</w:t>
      </w:r>
    </w:p>
    <w:p w14:paraId="0E577151" w14:textId="77777777" w:rsidR="00CF34A6" w:rsidRPr="00CF34A6" w:rsidRDefault="00CF34A6" w:rsidP="00CF34A6">
      <w:pPr>
        <w:rPr>
          <w:b/>
          <w:bCs/>
        </w:rPr>
      </w:pPr>
      <w:bookmarkStart w:id="8" w:name="_Hlk21389730"/>
    </w:p>
    <w:p w14:paraId="4BA2FB6E" w14:textId="77777777" w:rsidR="00CF34A6" w:rsidRPr="00CF34A6" w:rsidRDefault="00CF34A6" w:rsidP="00CF34A6">
      <w:pPr>
        <w:rPr>
          <w:b/>
          <w:bCs/>
        </w:rPr>
      </w:pPr>
      <w:r w:rsidRPr="00CF34A6">
        <w:rPr>
          <w:b/>
          <w:bCs/>
        </w:rPr>
        <w:t>Applicants will need to demonstrate that they are:</w:t>
      </w:r>
    </w:p>
    <w:p w14:paraId="46947DFB" w14:textId="77777777" w:rsidR="00CF34A6" w:rsidRPr="00CF34A6" w:rsidRDefault="00CF34A6" w:rsidP="00CF34A6">
      <w:pPr>
        <w:numPr>
          <w:ilvl w:val="0"/>
          <w:numId w:val="5"/>
        </w:numPr>
        <w:spacing w:after="120"/>
        <w:contextualSpacing/>
        <w:rPr>
          <w:rFonts w:eastAsia="Times New Roman" w:cs="Calibri"/>
        </w:rPr>
      </w:pPr>
      <w:r w:rsidRPr="00CF34A6">
        <w:rPr>
          <w:rFonts w:eastAsia="Times New Roman" w:cs="Calibri"/>
        </w:rPr>
        <w:lastRenderedPageBreak/>
        <w:t>Open to all and informed by their partners and audiences.</w:t>
      </w:r>
    </w:p>
    <w:p w14:paraId="49B1E9EA" w14:textId="77777777" w:rsidR="00CF34A6" w:rsidRPr="00CF34A6" w:rsidRDefault="00CF34A6" w:rsidP="00CF34A6">
      <w:pPr>
        <w:numPr>
          <w:ilvl w:val="0"/>
          <w:numId w:val="5"/>
        </w:numPr>
        <w:spacing w:after="120"/>
        <w:contextualSpacing/>
        <w:rPr>
          <w:rFonts w:eastAsia="Times New Roman" w:cs="Calibri"/>
        </w:rPr>
      </w:pPr>
      <w:r w:rsidRPr="00CF34A6">
        <w:rPr>
          <w:rFonts w:eastAsia="Times New Roman" w:cs="Calibri"/>
        </w:rPr>
        <w:t>Open to working with partners and other centres to explore new ways of working with communities.</w:t>
      </w:r>
    </w:p>
    <w:p w14:paraId="496786C8" w14:textId="29D2CEBF" w:rsidR="00CF34A6" w:rsidRPr="00CF34A6" w:rsidRDefault="00CF34A6" w:rsidP="00CF34A6">
      <w:pPr>
        <w:numPr>
          <w:ilvl w:val="0"/>
          <w:numId w:val="7"/>
        </w:numPr>
        <w:spacing w:after="120"/>
        <w:contextualSpacing/>
        <w:rPr>
          <w:rFonts w:eastAsia="Times New Roman" w:cs="Calibri"/>
        </w:rPr>
      </w:pPr>
      <w:r w:rsidRPr="00CF34A6">
        <w:rPr>
          <w:rFonts w:eastAsia="Times New Roman" w:cs="Calibri"/>
        </w:rPr>
        <w:t>Keen to develop opportunities to work with arts and other partners (STEM to STEAM) approach, and trial</w:t>
      </w:r>
      <w:r>
        <w:rPr>
          <w:rFonts w:eastAsia="Times New Roman" w:cs="Calibri"/>
        </w:rPr>
        <w:t xml:space="preserve"> </w:t>
      </w:r>
      <w:r w:rsidRPr="00CF34A6">
        <w:rPr>
          <w:rFonts w:eastAsia="Times New Roman" w:cs="Calibri"/>
        </w:rPr>
        <w:t xml:space="preserve">innovative new ways for working. </w:t>
      </w:r>
    </w:p>
    <w:p w14:paraId="23AA7928" w14:textId="718A190E" w:rsidR="00CF34A6" w:rsidRDefault="00CF34A6" w:rsidP="00CF34A6">
      <w:pPr>
        <w:numPr>
          <w:ilvl w:val="0"/>
          <w:numId w:val="7"/>
        </w:numPr>
        <w:spacing w:after="120"/>
        <w:contextualSpacing/>
        <w:rPr>
          <w:rFonts w:eastAsia="Times New Roman" w:cs="Calibri"/>
        </w:rPr>
      </w:pPr>
      <w:r w:rsidRPr="00CF34A6">
        <w:rPr>
          <w:rFonts w:eastAsia="Times New Roman" w:cs="Calibri"/>
        </w:rPr>
        <w:t>Keen to explore what others might consider unexpected, disruptive and exciting approaches.</w:t>
      </w:r>
    </w:p>
    <w:p w14:paraId="59F01ABB" w14:textId="52ECABF3" w:rsidR="006D3CC1" w:rsidRDefault="006D3CC1" w:rsidP="006D3CC1">
      <w:pPr>
        <w:spacing w:after="120"/>
        <w:contextualSpacing/>
        <w:rPr>
          <w:rFonts w:eastAsia="Times New Roman" w:cs="Calibri"/>
        </w:rPr>
      </w:pPr>
    </w:p>
    <w:p w14:paraId="5C8D7373" w14:textId="0315E765" w:rsidR="006D3CC1" w:rsidRDefault="006D3CC1" w:rsidP="006D3CC1">
      <w:pPr>
        <w:spacing w:after="120"/>
        <w:contextualSpacing/>
        <w:rPr>
          <w:rFonts w:eastAsia="Times New Roman" w:cs="Calibri"/>
        </w:rPr>
      </w:pPr>
    </w:p>
    <w:p w14:paraId="7A5AB2A1" w14:textId="78F5855B" w:rsidR="006D3CC1" w:rsidRPr="00CF34A6" w:rsidRDefault="006D3CC1" w:rsidP="006D3CC1">
      <w:pPr>
        <w:spacing w:after="120"/>
        <w:contextualSpacing/>
        <w:jc w:val="right"/>
        <w:rPr>
          <w:rFonts w:eastAsia="Times New Roman" w:cs="Calibri"/>
          <w:b/>
          <w:bCs/>
        </w:rPr>
      </w:pPr>
      <w:r w:rsidRPr="006D3CC1">
        <w:rPr>
          <w:rFonts w:eastAsia="Times New Roman" w:cs="Calibri"/>
          <w:b/>
          <w:bCs/>
        </w:rPr>
        <w:t>Summary by Dr Penny Fidler, 2020</w:t>
      </w:r>
    </w:p>
    <w:bookmarkEnd w:id="8"/>
    <w:bookmarkEnd w:id="3"/>
    <w:p w14:paraId="63EED0B4" w14:textId="77777777" w:rsidR="003C74FD" w:rsidRDefault="003C74FD"/>
    <w:sectPr w:rsidR="003C74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56CC8"/>
    <w:multiLevelType w:val="multilevel"/>
    <w:tmpl w:val="E2F6B1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B14541"/>
    <w:multiLevelType w:val="hybridMultilevel"/>
    <w:tmpl w:val="FF02A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6F33CD"/>
    <w:multiLevelType w:val="hybridMultilevel"/>
    <w:tmpl w:val="F30EEB5A"/>
    <w:lvl w:ilvl="0" w:tplc="65F62F7A">
      <w:start w:val="1"/>
      <w:numFmt w:val="bullet"/>
      <w:lvlText w:val=""/>
      <w:lvlJc w:val="left"/>
      <w:pPr>
        <w:ind w:left="720" w:hanging="360"/>
      </w:pPr>
      <w:rPr>
        <w:rFonts w:ascii="Symbol" w:hAnsi="Symbol" w:hint="default"/>
      </w:rPr>
    </w:lvl>
    <w:lvl w:ilvl="1" w:tplc="A914DD52">
      <w:start w:val="1"/>
      <w:numFmt w:val="bullet"/>
      <w:lvlText w:val="o"/>
      <w:lvlJc w:val="left"/>
      <w:pPr>
        <w:ind w:left="1440" w:hanging="360"/>
      </w:pPr>
      <w:rPr>
        <w:rFonts w:ascii="Courier New" w:hAnsi="Courier New" w:cs="Times New Roman" w:hint="default"/>
      </w:rPr>
    </w:lvl>
    <w:lvl w:ilvl="2" w:tplc="227C3D82">
      <w:start w:val="1"/>
      <w:numFmt w:val="bullet"/>
      <w:lvlText w:val=""/>
      <w:lvlJc w:val="left"/>
      <w:pPr>
        <w:ind w:left="2160" w:hanging="360"/>
      </w:pPr>
      <w:rPr>
        <w:rFonts w:ascii="Wingdings" w:hAnsi="Wingdings" w:hint="default"/>
      </w:rPr>
    </w:lvl>
    <w:lvl w:ilvl="3" w:tplc="FEDA7E94">
      <w:start w:val="1"/>
      <w:numFmt w:val="bullet"/>
      <w:lvlText w:val=""/>
      <w:lvlJc w:val="left"/>
      <w:pPr>
        <w:ind w:left="2880" w:hanging="360"/>
      </w:pPr>
      <w:rPr>
        <w:rFonts w:ascii="Symbol" w:hAnsi="Symbol" w:hint="default"/>
      </w:rPr>
    </w:lvl>
    <w:lvl w:ilvl="4" w:tplc="8978618C">
      <w:start w:val="1"/>
      <w:numFmt w:val="bullet"/>
      <w:lvlText w:val="o"/>
      <w:lvlJc w:val="left"/>
      <w:pPr>
        <w:ind w:left="3600" w:hanging="360"/>
      </w:pPr>
      <w:rPr>
        <w:rFonts w:ascii="Courier New" w:hAnsi="Courier New" w:cs="Times New Roman" w:hint="default"/>
      </w:rPr>
    </w:lvl>
    <w:lvl w:ilvl="5" w:tplc="90D25F7C">
      <w:start w:val="1"/>
      <w:numFmt w:val="bullet"/>
      <w:lvlText w:val=""/>
      <w:lvlJc w:val="left"/>
      <w:pPr>
        <w:ind w:left="4320" w:hanging="360"/>
      </w:pPr>
      <w:rPr>
        <w:rFonts w:ascii="Wingdings" w:hAnsi="Wingdings" w:hint="default"/>
      </w:rPr>
    </w:lvl>
    <w:lvl w:ilvl="6" w:tplc="9DBEF3C4">
      <w:start w:val="1"/>
      <w:numFmt w:val="bullet"/>
      <w:lvlText w:val=""/>
      <w:lvlJc w:val="left"/>
      <w:pPr>
        <w:ind w:left="5040" w:hanging="360"/>
      </w:pPr>
      <w:rPr>
        <w:rFonts w:ascii="Symbol" w:hAnsi="Symbol" w:hint="default"/>
      </w:rPr>
    </w:lvl>
    <w:lvl w:ilvl="7" w:tplc="55949276">
      <w:start w:val="1"/>
      <w:numFmt w:val="bullet"/>
      <w:lvlText w:val="o"/>
      <w:lvlJc w:val="left"/>
      <w:pPr>
        <w:ind w:left="5760" w:hanging="360"/>
      </w:pPr>
      <w:rPr>
        <w:rFonts w:ascii="Courier New" w:hAnsi="Courier New" w:cs="Times New Roman" w:hint="default"/>
      </w:rPr>
    </w:lvl>
    <w:lvl w:ilvl="8" w:tplc="27EAAB5C">
      <w:start w:val="1"/>
      <w:numFmt w:val="bullet"/>
      <w:lvlText w:val=""/>
      <w:lvlJc w:val="left"/>
      <w:pPr>
        <w:ind w:left="6480" w:hanging="360"/>
      </w:pPr>
      <w:rPr>
        <w:rFonts w:ascii="Wingdings" w:hAnsi="Wingdings" w:hint="default"/>
      </w:rPr>
    </w:lvl>
  </w:abstractNum>
  <w:abstractNum w:abstractNumId="3" w15:restartNumberingAfterBreak="0">
    <w:nsid w:val="3BC71249"/>
    <w:multiLevelType w:val="hybridMultilevel"/>
    <w:tmpl w:val="496888F8"/>
    <w:lvl w:ilvl="0" w:tplc="A27E431E">
      <w:start w:val="1"/>
      <w:numFmt w:val="decimal"/>
      <w:pStyle w:val="Heading1"/>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F96CD6"/>
    <w:multiLevelType w:val="hybridMultilevel"/>
    <w:tmpl w:val="608099E0"/>
    <w:lvl w:ilvl="0" w:tplc="0409000F">
      <w:start w:val="1"/>
      <w:numFmt w:val="decimal"/>
      <w:lvlText w:val="%1."/>
      <w:lvlJc w:val="left"/>
      <w:pPr>
        <w:tabs>
          <w:tab w:val="num" w:pos="720"/>
        </w:tabs>
        <w:ind w:left="720" w:hanging="360"/>
      </w:pPr>
      <w:rPr>
        <w:rFonts w:cs="Times New Roman" w:hint="default"/>
      </w:rPr>
    </w:lvl>
    <w:lvl w:ilvl="1" w:tplc="C3ECD7E8">
      <w:start w:val="1"/>
      <w:numFmt w:val="upperLetter"/>
      <w:lvlText w:val="%2."/>
      <w:lvlJc w:val="left"/>
      <w:pPr>
        <w:tabs>
          <w:tab w:val="num" w:pos="1440"/>
        </w:tabs>
        <w:ind w:left="1440" w:hanging="360"/>
      </w:pPr>
      <w:rPr>
        <w:rFonts w:ascii="Calibri" w:eastAsia="Calibri" w:hAnsi="Calibri"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0F57287"/>
    <w:multiLevelType w:val="hybridMultilevel"/>
    <w:tmpl w:val="DAD0F5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FC4B46"/>
    <w:multiLevelType w:val="hybridMultilevel"/>
    <w:tmpl w:val="248A3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804"/>
    <w:rsid w:val="002D2051"/>
    <w:rsid w:val="003C74FD"/>
    <w:rsid w:val="00536980"/>
    <w:rsid w:val="00646C18"/>
    <w:rsid w:val="006B7804"/>
    <w:rsid w:val="006D3CC1"/>
    <w:rsid w:val="008D3DDB"/>
    <w:rsid w:val="00963F70"/>
    <w:rsid w:val="00B57A58"/>
    <w:rsid w:val="00CF3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E9E09"/>
  <w15:chartTrackingRefBased/>
  <w15:docId w15:val="{B8A6AC2E-6D6C-40F6-9D31-649D9D07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804"/>
    <w:pPr>
      <w:spacing w:after="200" w:line="276" w:lineRule="auto"/>
    </w:pPr>
    <w:rPr>
      <w:rFonts w:eastAsia="Calibri" w:cs="Times New Roman"/>
    </w:rPr>
  </w:style>
  <w:style w:type="paragraph" w:styleId="Heading1">
    <w:name w:val="heading 1"/>
    <w:basedOn w:val="Normal"/>
    <w:next w:val="Normal"/>
    <w:link w:val="Heading1Char"/>
    <w:uiPriority w:val="99"/>
    <w:qFormat/>
    <w:rsid w:val="006B7804"/>
    <w:pPr>
      <w:keepNext/>
      <w:keepLines/>
      <w:numPr>
        <w:numId w:val="1"/>
      </w:numPr>
      <w:spacing w:before="480" w:line="240" w:lineRule="auto"/>
      <w:ind w:left="0" w:firstLine="0"/>
      <w:outlineLvl w:val="0"/>
    </w:pPr>
    <w:rPr>
      <w:b/>
      <w:bCs/>
      <w:color w:val="365F91"/>
      <w:sz w:val="32"/>
      <w:szCs w:val="28"/>
    </w:rPr>
  </w:style>
  <w:style w:type="paragraph" w:styleId="Heading2">
    <w:name w:val="heading 2"/>
    <w:basedOn w:val="Normal"/>
    <w:next w:val="Normal"/>
    <w:link w:val="Heading2Char"/>
    <w:uiPriority w:val="99"/>
    <w:qFormat/>
    <w:rsid w:val="006B7804"/>
    <w:pPr>
      <w:keepNext/>
      <w:spacing w:before="240" w:after="60"/>
      <w:outlineLvl w:val="1"/>
    </w:pPr>
    <w:rPr>
      <w:rFonts w:cs="Arial"/>
      <w:b/>
      <w:bCs/>
      <w:i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B7804"/>
    <w:rPr>
      <w:rFonts w:eastAsia="Calibri" w:cs="Times New Roman"/>
      <w:b/>
      <w:bCs/>
      <w:color w:val="365F91"/>
      <w:sz w:val="32"/>
      <w:szCs w:val="28"/>
    </w:rPr>
  </w:style>
  <w:style w:type="character" w:customStyle="1" w:styleId="Heading2Char">
    <w:name w:val="Heading 2 Char"/>
    <w:basedOn w:val="DefaultParagraphFont"/>
    <w:link w:val="Heading2"/>
    <w:uiPriority w:val="99"/>
    <w:rsid w:val="006B7804"/>
    <w:rPr>
      <w:rFonts w:eastAsia="Calibri" w:cs="Arial"/>
      <w:b/>
      <w:bCs/>
      <w:iCs/>
      <w:color w:val="2F5496" w:themeColor="accent1" w:themeShade="BF"/>
      <w:sz w:val="28"/>
      <w:szCs w:val="28"/>
    </w:rPr>
  </w:style>
  <w:style w:type="paragraph" w:styleId="ListParagraph">
    <w:name w:val="List Paragraph"/>
    <w:basedOn w:val="Normal"/>
    <w:uiPriority w:val="34"/>
    <w:qFormat/>
    <w:rsid w:val="006B7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Fidler</dc:creator>
  <cp:keywords/>
  <dc:description/>
  <cp:lastModifiedBy>ASDC</cp:lastModifiedBy>
  <cp:revision>2</cp:revision>
  <dcterms:created xsi:type="dcterms:W3CDTF">2020-05-05T16:59:00Z</dcterms:created>
  <dcterms:modified xsi:type="dcterms:W3CDTF">2020-05-05T16:59:00Z</dcterms:modified>
</cp:coreProperties>
</file>