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B6434" w14:textId="77777777" w:rsidR="007A6C6B" w:rsidRPr="00EE780A" w:rsidRDefault="007A6C6B" w:rsidP="007A6C6B">
      <w:pPr>
        <w:pStyle w:val="Heading1"/>
        <w:rPr>
          <w:rFonts w:asciiTheme="minorHAnsi" w:hAnsiTheme="minorHAnsi" w:cstheme="minorHAnsi"/>
        </w:rPr>
      </w:pPr>
      <w:bookmarkStart w:id="0" w:name="_Toc25879364"/>
      <w:bookmarkStart w:id="1" w:name="_GoBack"/>
      <w:bookmarkEnd w:id="1"/>
      <w:r w:rsidRPr="00EE780A">
        <w:rPr>
          <w:rFonts w:asciiTheme="minorHAnsi" w:hAnsiTheme="minorHAnsi" w:cstheme="minorHAnsi"/>
        </w:rPr>
        <w:t>The Millennium Science Centres</w:t>
      </w:r>
      <w:bookmarkEnd w:id="0"/>
    </w:p>
    <w:p w14:paraId="405FD896" w14:textId="77777777" w:rsidR="007A6C6B" w:rsidRPr="002C45F2" w:rsidRDefault="007A6C6B" w:rsidP="007A6C6B">
      <w:pPr>
        <w:rPr>
          <w:rFonts w:asciiTheme="minorHAnsi" w:hAnsiTheme="minorHAnsi" w:cstheme="minorHAnsi"/>
        </w:rPr>
      </w:pPr>
      <w:r>
        <w:rPr>
          <w:rFonts w:asciiTheme="minorHAnsi" w:hAnsiTheme="minorHAnsi" w:cstheme="minorHAnsi"/>
        </w:rPr>
        <w:t>2020 marks</w:t>
      </w:r>
      <w:r w:rsidRPr="002C45F2">
        <w:rPr>
          <w:rFonts w:asciiTheme="minorHAnsi" w:hAnsiTheme="minorHAnsi" w:cstheme="minorHAnsi"/>
        </w:rPr>
        <w:t xml:space="preserve"> the 20</w:t>
      </w:r>
      <w:r w:rsidRPr="002C45F2">
        <w:rPr>
          <w:rFonts w:asciiTheme="minorHAnsi" w:hAnsiTheme="minorHAnsi" w:cstheme="minorHAnsi"/>
          <w:vertAlign w:val="superscript"/>
        </w:rPr>
        <w:t>th</w:t>
      </w:r>
      <w:r w:rsidRPr="002C45F2">
        <w:rPr>
          <w:rFonts w:asciiTheme="minorHAnsi" w:hAnsiTheme="minorHAnsi" w:cstheme="minorHAnsi"/>
        </w:rPr>
        <w:t xml:space="preserve"> anniversary of the Millennium, a time that saw unprecedented investment from The Millennium Commission and other local and national partners to create flagship Science Centres across our nation. For 20 years these have operated as successful independent and locally-focussed businesses and charities, stimulating curiosity and interest in science, bringing the most exciting and latest science to children and families where they live, and doing so in an equitable manner that appeals widely and allows people of all backgrounds to start to explore and investigate. </w:t>
      </w:r>
    </w:p>
    <w:p w14:paraId="3804C716" w14:textId="77777777" w:rsidR="007A6C6B" w:rsidRPr="00EE780A" w:rsidRDefault="007A6C6B" w:rsidP="007A6C6B">
      <w:pPr>
        <w:rPr>
          <w:rFonts w:asciiTheme="minorHAnsi" w:hAnsiTheme="minorHAnsi" w:cstheme="minorHAnsi"/>
        </w:rPr>
      </w:pPr>
      <w:r w:rsidRPr="00EE780A">
        <w:rPr>
          <w:rFonts w:asciiTheme="minorHAnsi" w:hAnsiTheme="minorHAnsi" w:cstheme="minorHAnsi"/>
        </w:rPr>
        <w:t>The host of new ‘Millennium Science Centres’ were also instrumental in kick-starting and delivering major new urban regeneration programmes which have seen the areas in which they operate turn from unused waste-land to lively buzzing urban centres</w:t>
      </w:r>
      <w:r>
        <w:rPr>
          <w:rFonts w:asciiTheme="minorHAnsi" w:hAnsiTheme="minorHAnsi" w:cstheme="minorHAnsi"/>
        </w:rPr>
        <w:t>,</w:t>
      </w:r>
      <w:r w:rsidRPr="00EE780A">
        <w:rPr>
          <w:rFonts w:asciiTheme="minorHAnsi" w:hAnsiTheme="minorHAnsi" w:cstheme="minorHAnsi"/>
        </w:rPr>
        <w:t xml:space="preserve"> attracting considerable inward investment.</w:t>
      </w:r>
      <w:r>
        <w:rPr>
          <w:rFonts w:asciiTheme="minorHAnsi" w:hAnsiTheme="minorHAnsi" w:cstheme="minorHAnsi"/>
        </w:rPr>
        <w:t xml:space="preserve"> Within this document we include an analysis of which centres were funded through Millennium Commission funding and then ISF funding, along with an analysis of how many UK centres would be eligible to apply for this new grant programme. This is instrumental in setting the number of grants.</w:t>
      </w:r>
    </w:p>
    <w:p w14:paraId="2A56739B" w14:textId="66B584F2" w:rsidR="007A6C6B" w:rsidRPr="00EE780A" w:rsidRDefault="007A6C6B" w:rsidP="007A6C6B">
      <w:r w:rsidRPr="00EE780A">
        <w:rPr>
          <w:rFonts w:asciiTheme="minorHAnsi" w:hAnsiTheme="minorHAnsi" w:cstheme="minorHAnsi"/>
        </w:rPr>
        <w:t xml:space="preserve">The following information </w:t>
      </w:r>
      <w:r>
        <w:rPr>
          <w:rFonts w:asciiTheme="minorHAnsi" w:hAnsiTheme="minorHAnsi" w:cstheme="minorHAnsi"/>
        </w:rPr>
        <w:t>is a summary of</w:t>
      </w:r>
      <w:r w:rsidRPr="00EE780A">
        <w:rPr>
          <w:rFonts w:asciiTheme="minorHAnsi" w:hAnsiTheme="minorHAnsi" w:cstheme="minorHAnsi"/>
        </w:rPr>
        <w:t xml:space="preserve"> which UK Science Centres were already in operation before this time, which were awarded Millennium Commission funding, where they are located</w:t>
      </w:r>
      <w:r>
        <w:rPr>
          <w:rFonts w:asciiTheme="minorHAnsi" w:hAnsiTheme="minorHAnsi" w:cstheme="minorHAnsi"/>
        </w:rPr>
        <w:t xml:space="preserve"> and </w:t>
      </w:r>
      <w:r w:rsidRPr="00EE780A">
        <w:rPr>
          <w:rFonts w:asciiTheme="minorHAnsi" w:hAnsiTheme="minorHAnsi" w:cstheme="minorHAnsi"/>
        </w:rPr>
        <w:t>when they opened</w:t>
      </w:r>
      <w:r>
        <w:rPr>
          <w:rFonts w:asciiTheme="minorHAnsi" w:hAnsiTheme="minorHAnsi" w:cstheme="minorHAnsi"/>
        </w:rPr>
        <w:t>.</w:t>
      </w:r>
    </w:p>
    <w:p w14:paraId="519DC844" w14:textId="77777777" w:rsidR="007A6C6B" w:rsidRPr="00EE780A" w:rsidRDefault="007A6C6B" w:rsidP="007A6C6B">
      <w:pPr>
        <w:pStyle w:val="Heading2"/>
      </w:pPr>
      <w:bookmarkStart w:id="2" w:name="_Toc25879365"/>
      <w:r w:rsidRPr="00EE780A">
        <w:t>Before the Millennium</w:t>
      </w:r>
      <w:bookmarkEnd w:id="2"/>
    </w:p>
    <w:p w14:paraId="2D18B311" w14:textId="77777777" w:rsidR="007A6C6B" w:rsidRDefault="007A6C6B" w:rsidP="007A6C6B">
      <w:r w:rsidRPr="00EE780A">
        <w:t>Before 2000 there were a number of successful charitable Science Centres in operation across the UK. Some of these are recipients of investment through the Inspiring Science Fund.</w:t>
      </w:r>
      <w:r>
        <w:t xml:space="preserve"> </w:t>
      </w:r>
    </w:p>
    <w:p w14:paraId="279A6F44" w14:textId="77777777" w:rsidR="007A6C6B" w:rsidRPr="00EE780A" w:rsidRDefault="007A6C6B" w:rsidP="007A6C6B">
      <w:r w:rsidRPr="00EE780A">
        <w:lastRenderedPageBreak/>
        <w:t xml:space="preserve">Those in operation before 2000 include, for example, the following charitable organisations (those with a * </w:t>
      </w:r>
      <w:r>
        <w:t xml:space="preserve">now </w:t>
      </w:r>
      <w:r w:rsidRPr="00EE780A">
        <w:t>have ISF funding):</w:t>
      </w:r>
    </w:p>
    <w:p w14:paraId="6AAB403E" w14:textId="77777777" w:rsidR="007A6C6B" w:rsidRPr="00EE780A" w:rsidRDefault="007A6C6B" w:rsidP="007A6C6B">
      <w:pPr>
        <w:pStyle w:val="ListParagraph"/>
        <w:numPr>
          <w:ilvl w:val="0"/>
          <w:numId w:val="3"/>
        </w:numPr>
      </w:pPr>
      <w:r w:rsidRPr="00EE780A">
        <w:t>Techniquest, Cardiff*</w:t>
      </w:r>
    </w:p>
    <w:p w14:paraId="46CC81BC" w14:textId="77777777" w:rsidR="007A6C6B" w:rsidRPr="00EE780A" w:rsidRDefault="007A6C6B" w:rsidP="007A6C6B">
      <w:pPr>
        <w:pStyle w:val="ListParagraph"/>
        <w:numPr>
          <w:ilvl w:val="0"/>
          <w:numId w:val="3"/>
        </w:numPr>
      </w:pPr>
      <w:r w:rsidRPr="00EE780A">
        <w:t>Catalyst in Widnes*</w:t>
      </w:r>
    </w:p>
    <w:p w14:paraId="2E99E2C3" w14:textId="77777777" w:rsidR="007A6C6B" w:rsidRPr="00EE780A" w:rsidRDefault="007A6C6B" w:rsidP="007A6C6B">
      <w:pPr>
        <w:pStyle w:val="ListParagraph"/>
        <w:numPr>
          <w:ilvl w:val="0"/>
          <w:numId w:val="3"/>
        </w:numPr>
      </w:pPr>
      <w:r w:rsidRPr="00EE780A">
        <w:t>Eureka! The National Children’s Museum in Halifax*</w:t>
      </w:r>
    </w:p>
    <w:p w14:paraId="609D2808" w14:textId="77777777" w:rsidR="007A6C6B" w:rsidRPr="00EE780A" w:rsidRDefault="007A6C6B" w:rsidP="007A6C6B">
      <w:pPr>
        <w:pStyle w:val="ListParagraph"/>
        <w:numPr>
          <w:ilvl w:val="0"/>
          <w:numId w:val="3"/>
        </w:numPr>
      </w:pPr>
      <w:r w:rsidRPr="00EE780A">
        <w:t>Aberdeen Science Centre (formerly Satro</w:t>
      </w:r>
      <w:r>
        <w:t>s</w:t>
      </w:r>
      <w:r w:rsidRPr="00EE780A">
        <w:t>phere)*</w:t>
      </w:r>
    </w:p>
    <w:p w14:paraId="0815A8E8" w14:textId="77777777" w:rsidR="007A6C6B" w:rsidRPr="00EE780A" w:rsidRDefault="007A6C6B" w:rsidP="007A6C6B">
      <w:pPr>
        <w:pStyle w:val="ListParagraph"/>
        <w:numPr>
          <w:ilvl w:val="0"/>
          <w:numId w:val="3"/>
        </w:numPr>
      </w:pPr>
      <w:r w:rsidRPr="00EE780A">
        <w:t>Centre for Alternative Technology in West Wales</w:t>
      </w:r>
    </w:p>
    <w:p w14:paraId="41FD7245" w14:textId="77777777" w:rsidR="007A6C6B" w:rsidRPr="00EE780A" w:rsidRDefault="007A6C6B" w:rsidP="007A6C6B">
      <w:pPr>
        <w:pStyle w:val="ListParagraph"/>
        <w:numPr>
          <w:ilvl w:val="0"/>
          <w:numId w:val="3"/>
        </w:numPr>
      </w:pPr>
      <w:r w:rsidRPr="00EE780A">
        <w:t>The Observatory Science Centre in Sussex</w:t>
      </w:r>
    </w:p>
    <w:p w14:paraId="33159E6E" w14:textId="77777777" w:rsidR="007A6C6B" w:rsidRPr="00EE780A" w:rsidRDefault="007A6C6B" w:rsidP="007A6C6B">
      <w:pPr>
        <w:pStyle w:val="Heading2"/>
        <w:rPr>
          <w:rFonts w:asciiTheme="minorHAnsi" w:hAnsiTheme="minorHAnsi" w:cstheme="minorHAnsi"/>
        </w:rPr>
      </w:pPr>
      <w:bookmarkStart w:id="3" w:name="_Toc25879366"/>
      <w:r w:rsidRPr="00EE780A">
        <w:rPr>
          <w:noProof/>
          <w:lang w:eastAsia="en-GB"/>
        </w:rPr>
        <w:drawing>
          <wp:anchor distT="0" distB="0" distL="114300" distR="114300" simplePos="0" relativeHeight="251661312" behindDoc="1" locked="0" layoutInCell="1" allowOverlap="1" wp14:anchorId="1232CFC2" wp14:editId="4259035E">
            <wp:simplePos x="0" y="0"/>
            <wp:positionH relativeFrom="column">
              <wp:posOffset>607695</wp:posOffset>
            </wp:positionH>
            <wp:positionV relativeFrom="paragraph">
              <wp:posOffset>426720</wp:posOffset>
            </wp:positionV>
            <wp:extent cx="3968750" cy="1721485"/>
            <wp:effectExtent l="0" t="0" r="0" b="0"/>
            <wp:wrapTopAndBottom/>
            <wp:docPr id="136194" name="Picture 13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8750" cy="1721485"/>
                    </a:xfrm>
                    <a:prstGeom prst="rect">
                      <a:avLst/>
                    </a:prstGeom>
                    <a:noFill/>
                  </pic:spPr>
                </pic:pic>
              </a:graphicData>
            </a:graphic>
            <wp14:sizeRelH relativeFrom="margin">
              <wp14:pctWidth>0</wp14:pctWidth>
            </wp14:sizeRelH>
            <wp14:sizeRelV relativeFrom="margin">
              <wp14:pctHeight>0</wp14:pctHeight>
            </wp14:sizeRelV>
          </wp:anchor>
        </w:drawing>
      </w:r>
      <w:r w:rsidRPr="00EE780A">
        <w:rPr>
          <w:rFonts w:asciiTheme="minorHAnsi" w:hAnsiTheme="minorHAnsi" w:cstheme="minorHAnsi"/>
        </w:rPr>
        <w:t>The Millennium Commission investment in Science Centres</w:t>
      </w:r>
      <w:bookmarkEnd w:id="3"/>
    </w:p>
    <w:p w14:paraId="5F6BA1E0" w14:textId="77777777" w:rsidR="007A6C6B" w:rsidRPr="00EE780A" w:rsidRDefault="007A6C6B" w:rsidP="007A6C6B">
      <w:pPr>
        <w:rPr>
          <w:rFonts w:asciiTheme="minorHAnsi" w:hAnsiTheme="minorHAnsi" w:cstheme="minorHAnsi"/>
        </w:rPr>
      </w:pPr>
      <w:bookmarkStart w:id="4" w:name="_Hlk21390878"/>
    </w:p>
    <w:p w14:paraId="3F2DE5E4" w14:textId="77777777" w:rsidR="007A6C6B" w:rsidRPr="00EE780A" w:rsidRDefault="007A6C6B" w:rsidP="007A6C6B">
      <w:pPr>
        <w:rPr>
          <w:rFonts w:asciiTheme="minorHAnsi" w:hAnsiTheme="minorHAnsi" w:cstheme="minorHAnsi"/>
        </w:rPr>
      </w:pPr>
      <w:r w:rsidRPr="00EE780A">
        <w:rPr>
          <w:rFonts w:asciiTheme="minorHAnsi" w:hAnsiTheme="minorHAnsi" w:cstheme="minorHAnsi"/>
        </w:rPr>
        <w:t xml:space="preserve">The Millennium Commission invested </w:t>
      </w:r>
      <w:bookmarkEnd w:id="4"/>
      <w:r w:rsidRPr="00EE780A">
        <w:rPr>
          <w:rFonts w:asciiTheme="minorHAnsi" w:hAnsiTheme="minorHAnsi" w:cstheme="minorHAnsi"/>
        </w:rPr>
        <w:t>over £250 million in building new Science Centres in the UK.</w:t>
      </w:r>
    </w:p>
    <w:p w14:paraId="5ED93BA9" w14:textId="77777777" w:rsidR="007A6C6B" w:rsidRPr="00EE780A" w:rsidRDefault="007A6C6B" w:rsidP="007A6C6B">
      <w:pPr>
        <w:rPr>
          <w:rFonts w:asciiTheme="minorHAnsi" w:hAnsiTheme="minorHAnsi" w:cstheme="minorHAnsi"/>
          <w:lang w:eastAsia="en-GB"/>
        </w:rPr>
      </w:pPr>
      <w:r w:rsidRPr="00EE780A">
        <w:rPr>
          <w:rFonts w:asciiTheme="minorHAnsi" w:hAnsiTheme="minorHAnsi" w:cstheme="minorHAnsi"/>
          <w:lang w:eastAsia="en-GB"/>
        </w:rPr>
        <w:t xml:space="preserve">The Millennium Commission was established in 1994 to distribute National Lottery money to assist communities in marking the close of the second millennium and the start of the third. </w:t>
      </w:r>
      <w:r>
        <w:rPr>
          <w:rFonts w:asciiTheme="minorHAnsi" w:hAnsiTheme="minorHAnsi" w:cstheme="minorHAnsi"/>
          <w:lang w:eastAsia="en-GB"/>
        </w:rPr>
        <w:t xml:space="preserve">Overall, </w:t>
      </w:r>
      <w:r w:rsidRPr="00EE780A">
        <w:rPr>
          <w:rFonts w:asciiTheme="minorHAnsi" w:hAnsiTheme="minorHAnsi" w:cstheme="minorHAnsi"/>
          <w:lang w:eastAsia="en-GB"/>
        </w:rPr>
        <w:t xml:space="preserve">The Millennium Commission </w:t>
      </w:r>
      <w:r>
        <w:rPr>
          <w:rFonts w:asciiTheme="minorHAnsi" w:hAnsiTheme="minorHAnsi" w:cstheme="minorHAnsi"/>
          <w:lang w:eastAsia="en-GB"/>
        </w:rPr>
        <w:t>invested a</w:t>
      </w:r>
      <w:r w:rsidRPr="00EE780A">
        <w:rPr>
          <w:rFonts w:asciiTheme="minorHAnsi" w:hAnsiTheme="minorHAnsi" w:cstheme="minorHAnsi"/>
          <w:lang w:eastAsia="en-GB"/>
        </w:rPr>
        <w:t xml:space="preserve">round £2 billion </w:t>
      </w:r>
      <w:r>
        <w:rPr>
          <w:rFonts w:asciiTheme="minorHAnsi" w:hAnsiTheme="minorHAnsi" w:cstheme="minorHAnsi"/>
          <w:lang w:eastAsia="en-GB"/>
        </w:rPr>
        <w:t>across the UK in</w:t>
      </w:r>
      <w:r w:rsidRPr="007E6DB5">
        <w:rPr>
          <w:rFonts w:asciiTheme="minorHAnsi" w:hAnsiTheme="minorHAnsi" w:cstheme="minorHAnsi"/>
          <w:lang w:eastAsia="en-GB"/>
        </w:rPr>
        <w:t xml:space="preserve"> </w:t>
      </w:r>
      <w:r w:rsidRPr="00EE780A">
        <w:rPr>
          <w:rFonts w:asciiTheme="minorHAnsi" w:hAnsiTheme="minorHAnsi" w:cstheme="minorHAnsi"/>
          <w:lang w:eastAsia="en-GB"/>
        </w:rPr>
        <w:t>capital projects, festivals</w:t>
      </w:r>
      <w:r>
        <w:rPr>
          <w:rFonts w:asciiTheme="minorHAnsi" w:hAnsiTheme="minorHAnsi" w:cstheme="minorHAnsi"/>
          <w:lang w:eastAsia="en-GB"/>
        </w:rPr>
        <w:t xml:space="preserve">, </w:t>
      </w:r>
      <w:r w:rsidRPr="007E6DB5">
        <w:rPr>
          <w:rFonts w:asciiTheme="minorHAnsi" w:hAnsiTheme="minorHAnsi" w:cstheme="minorHAnsi"/>
          <w:lang w:eastAsia="en-GB"/>
        </w:rPr>
        <w:t>buildings, environmental projects, celebrations and community schemes</w:t>
      </w:r>
      <w:r>
        <w:rPr>
          <w:rFonts w:asciiTheme="minorHAnsi" w:hAnsiTheme="minorHAnsi" w:cstheme="minorHAnsi"/>
          <w:lang w:eastAsia="en-GB"/>
        </w:rPr>
        <w:t xml:space="preserve"> </w:t>
      </w:r>
      <w:r w:rsidRPr="00EE780A">
        <w:rPr>
          <w:rFonts w:asciiTheme="minorHAnsi" w:hAnsiTheme="minorHAnsi" w:cstheme="minorHAnsi"/>
          <w:lang w:eastAsia="en-GB"/>
        </w:rPr>
        <w:t xml:space="preserve">and the Dome. </w:t>
      </w:r>
    </w:p>
    <w:p w14:paraId="4ED2A872" w14:textId="77777777" w:rsidR="007A6C6B" w:rsidRPr="00EE780A" w:rsidRDefault="007A6C6B" w:rsidP="007A6C6B">
      <w:pPr>
        <w:spacing w:after="0"/>
        <w:rPr>
          <w:rFonts w:asciiTheme="minorHAnsi" w:hAnsiTheme="minorHAnsi" w:cstheme="minorHAnsi"/>
          <w:lang w:eastAsia="en-GB"/>
        </w:rPr>
      </w:pPr>
      <w:r w:rsidRPr="00EE780A">
        <w:rPr>
          <w:rFonts w:asciiTheme="minorHAnsi" w:hAnsiTheme="minorHAnsi" w:cstheme="minorHAnsi"/>
          <w:lang w:eastAsia="en-GB"/>
        </w:rPr>
        <w:t xml:space="preserve">There were three strategic criteria across all the Millennium Commission's capital awards: </w:t>
      </w:r>
    </w:p>
    <w:p w14:paraId="02950665" w14:textId="77777777" w:rsidR="007A6C6B" w:rsidRPr="00EE780A" w:rsidRDefault="007A6C6B" w:rsidP="007A6C6B">
      <w:pPr>
        <w:spacing w:after="0"/>
        <w:rPr>
          <w:rFonts w:asciiTheme="minorHAnsi" w:hAnsiTheme="minorHAnsi" w:cstheme="minorHAnsi"/>
          <w:lang w:eastAsia="en-GB"/>
        </w:rPr>
      </w:pPr>
      <w:r w:rsidRPr="00EE780A">
        <w:rPr>
          <w:rFonts w:asciiTheme="minorHAnsi" w:hAnsiTheme="minorHAnsi" w:cstheme="minorHAnsi"/>
          <w:lang w:eastAsia="en-GB"/>
        </w:rPr>
        <w:t xml:space="preserve">The projects </w:t>
      </w:r>
      <w:r>
        <w:rPr>
          <w:rFonts w:asciiTheme="minorHAnsi" w:hAnsiTheme="minorHAnsi" w:cstheme="minorHAnsi"/>
          <w:lang w:eastAsia="en-GB"/>
        </w:rPr>
        <w:t>had to</w:t>
      </w:r>
      <w:r w:rsidRPr="00EE780A">
        <w:rPr>
          <w:rFonts w:asciiTheme="minorHAnsi" w:hAnsiTheme="minorHAnsi" w:cstheme="minorHAnsi"/>
          <w:lang w:eastAsia="en-GB"/>
        </w:rPr>
        <w:t xml:space="preserve"> be:</w:t>
      </w:r>
    </w:p>
    <w:p w14:paraId="2A22F02A" w14:textId="77777777" w:rsidR="007A6C6B" w:rsidRPr="00EE780A" w:rsidRDefault="007A6C6B" w:rsidP="007A6C6B">
      <w:pPr>
        <w:pStyle w:val="ListParagraph"/>
        <w:numPr>
          <w:ilvl w:val="0"/>
          <w:numId w:val="5"/>
        </w:numPr>
        <w:spacing w:after="0"/>
        <w:rPr>
          <w:rFonts w:asciiTheme="minorHAnsi" w:hAnsiTheme="minorHAnsi" w:cstheme="minorHAnsi"/>
          <w:lang w:eastAsia="en-GB"/>
        </w:rPr>
      </w:pPr>
      <w:r w:rsidRPr="00EE780A">
        <w:rPr>
          <w:rFonts w:asciiTheme="minorHAnsi" w:hAnsiTheme="minorHAnsi" w:cstheme="minorHAnsi"/>
          <w:lang w:eastAsia="en-GB"/>
        </w:rPr>
        <w:t>Of all sizes</w:t>
      </w:r>
    </w:p>
    <w:p w14:paraId="196439D4" w14:textId="77777777" w:rsidR="007A6C6B" w:rsidRPr="00EE780A" w:rsidRDefault="007A6C6B" w:rsidP="007A6C6B">
      <w:pPr>
        <w:pStyle w:val="ListParagraph"/>
        <w:numPr>
          <w:ilvl w:val="0"/>
          <w:numId w:val="5"/>
        </w:numPr>
        <w:rPr>
          <w:rFonts w:asciiTheme="minorHAnsi" w:hAnsiTheme="minorHAnsi" w:cstheme="minorHAnsi"/>
          <w:lang w:eastAsia="en-GB"/>
        </w:rPr>
      </w:pPr>
      <w:r w:rsidRPr="00EE780A">
        <w:rPr>
          <w:rFonts w:asciiTheme="minorHAnsi" w:hAnsiTheme="minorHAnsi" w:cstheme="minorHAnsi"/>
          <w:lang w:eastAsia="en-GB"/>
        </w:rPr>
        <w:t xml:space="preserve">Spread across the country </w:t>
      </w:r>
    </w:p>
    <w:p w14:paraId="350B37D5" w14:textId="77777777" w:rsidR="007A6C6B" w:rsidRPr="00EE780A" w:rsidRDefault="007A6C6B" w:rsidP="007A6C6B">
      <w:pPr>
        <w:pStyle w:val="ListParagraph"/>
        <w:numPr>
          <w:ilvl w:val="0"/>
          <w:numId w:val="5"/>
        </w:numPr>
        <w:rPr>
          <w:rFonts w:asciiTheme="minorHAnsi" w:hAnsiTheme="minorHAnsi" w:cstheme="minorHAnsi"/>
          <w:lang w:eastAsia="en-GB"/>
        </w:rPr>
      </w:pPr>
      <w:r w:rsidRPr="00EE780A">
        <w:rPr>
          <w:rFonts w:asciiTheme="minorHAnsi" w:hAnsiTheme="minorHAnsi" w:cstheme="minorHAnsi"/>
          <w:lang w:eastAsia="en-GB"/>
        </w:rPr>
        <w:lastRenderedPageBreak/>
        <w:t xml:space="preserve">Accessible to all sectors of the community. </w:t>
      </w:r>
    </w:p>
    <w:p w14:paraId="0A69BA9A" w14:textId="77777777" w:rsidR="007A6C6B" w:rsidRPr="00EE780A" w:rsidRDefault="007A6C6B" w:rsidP="007A6C6B">
      <w:pPr>
        <w:rPr>
          <w:rFonts w:asciiTheme="minorHAnsi" w:hAnsiTheme="minorHAnsi" w:cstheme="minorHAnsi"/>
          <w:lang w:eastAsia="en-GB"/>
        </w:rPr>
      </w:pPr>
      <w:r w:rsidRPr="00EE780A">
        <w:rPr>
          <w:rFonts w:asciiTheme="minorHAnsi" w:hAnsiTheme="minorHAnsi" w:cstheme="minorHAnsi"/>
          <w:lang w:eastAsia="en-GB"/>
        </w:rPr>
        <w:t>As a result of this last point, many of the new Science Centres were set up in areas not traditionally associated with tourism, and had urban regeneration as a central focus.</w:t>
      </w:r>
    </w:p>
    <w:p w14:paraId="15285FB8" w14:textId="77777777" w:rsidR="007A6C6B" w:rsidRPr="00EE780A" w:rsidRDefault="007A6C6B" w:rsidP="007A6C6B">
      <w:pPr>
        <w:spacing w:after="0"/>
        <w:rPr>
          <w:rFonts w:asciiTheme="minorHAnsi" w:hAnsiTheme="minorHAnsi" w:cstheme="minorHAnsi"/>
          <w:lang w:eastAsia="en-GB"/>
        </w:rPr>
      </w:pPr>
      <w:r w:rsidRPr="00EE780A">
        <w:rPr>
          <w:rFonts w:asciiTheme="minorHAnsi" w:hAnsiTheme="minorHAnsi" w:cstheme="minorHAnsi"/>
          <w:lang w:eastAsia="en-GB"/>
        </w:rPr>
        <w:t xml:space="preserve">Rather than proposing themes for capital projects, the Millennium Commission invited bids for funding in four bidding rounds. Successful bids fell into five areas: </w:t>
      </w:r>
    </w:p>
    <w:p w14:paraId="48ECCB0B" w14:textId="77777777" w:rsidR="007A6C6B" w:rsidRPr="00EE780A" w:rsidRDefault="007A6C6B" w:rsidP="007A6C6B">
      <w:pPr>
        <w:pStyle w:val="ListParagraph"/>
        <w:numPr>
          <w:ilvl w:val="1"/>
          <w:numId w:val="4"/>
        </w:numPr>
        <w:spacing w:after="0"/>
        <w:rPr>
          <w:rFonts w:asciiTheme="minorHAnsi" w:hAnsiTheme="minorHAnsi" w:cstheme="minorHAnsi"/>
          <w:lang w:eastAsia="en-GB"/>
        </w:rPr>
      </w:pPr>
      <w:r>
        <w:rPr>
          <w:rFonts w:asciiTheme="minorHAnsi" w:hAnsiTheme="minorHAnsi" w:cstheme="minorHAnsi"/>
          <w:lang w:eastAsia="en-GB"/>
        </w:rPr>
        <w:t>S</w:t>
      </w:r>
      <w:r w:rsidRPr="00EE780A">
        <w:rPr>
          <w:rFonts w:asciiTheme="minorHAnsi" w:hAnsiTheme="minorHAnsi" w:cstheme="minorHAnsi"/>
          <w:lang w:eastAsia="en-GB"/>
        </w:rPr>
        <w:t>cience and technology</w:t>
      </w:r>
    </w:p>
    <w:p w14:paraId="3F363D7D" w14:textId="77777777" w:rsidR="007A6C6B" w:rsidRPr="00EE780A" w:rsidRDefault="007A6C6B" w:rsidP="007A6C6B">
      <w:pPr>
        <w:pStyle w:val="ListParagraph"/>
        <w:numPr>
          <w:ilvl w:val="1"/>
          <w:numId w:val="4"/>
        </w:numPr>
        <w:spacing w:after="0"/>
        <w:rPr>
          <w:rFonts w:asciiTheme="minorHAnsi" w:hAnsiTheme="minorHAnsi" w:cstheme="minorHAnsi"/>
          <w:lang w:eastAsia="en-GB"/>
        </w:rPr>
      </w:pPr>
      <w:r>
        <w:rPr>
          <w:rFonts w:asciiTheme="minorHAnsi" w:hAnsiTheme="minorHAnsi" w:cstheme="minorHAnsi"/>
          <w:lang w:eastAsia="en-GB"/>
        </w:rPr>
        <w:t>T</w:t>
      </w:r>
      <w:r w:rsidRPr="00EE780A">
        <w:rPr>
          <w:rFonts w:asciiTheme="minorHAnsi" w:hAnsiTheme="minorHAnsi" w:cstheme="minorHAnsi"/>
          <w:lang w:eastAsia="en-GB"/>
        </w:rPr>
        <w:t xml:space="preserve">he environment </w:t>
      </w:r>
    </w:p>
    <w:p w14:paraId="1EE1ABBF" w14:textId="77777777" w:rsidR="007A6C6B" w:rsidRPr="00EE780A" w:rsidRDefault="007A6C6B" w:rsidP="007A6C6B">
      <w:pPr>
        <w:pStyle w:val="ListParagraph"/>
        <w:numPr>
          <w:ilvl w:val="1"/>
          <w:numId w:val="4"/>
        </w:numPr>
        <w:rPr>
          <w:rFonts w:asciiTheme="minorHAnsi" w:hAnsiTheme="minorHAnsi" w:cstheme="minorHAnsi"/>
          <w:lang w:eastAsia="en-GB"/>
        </w:rPr>
      </w:pPr>
      <w:r>
        <w:rPr>
          <w:rFonts w:asciiTheme="minorHAnsi" w:hAnsiTheme="minorHAnsi" w:cstheme="minorHAnsi"/>
          <w:lang w:eastAsia="en-GB"/>
        </w:rPr>
        <w:t>E</w:t>
      </w:r>
      <w:r w:rsidRPr="00EE780A">
        <w:rPr>
          <w:rFonts w:asciiTheme="minorHAnsi" w:hAnsiTheme="minorHAnsi" w:cstheme="minorHAnsi"/>
          <w:lang w:eastAsia="en-GB"/>
        </w:rPr>
        <w:t>ducation</w:t>
      </w:r>
    </w:p>
    <w:p w14:paraId="52866EDD" w14:textId="77777777" w:rsidR="007A6C6B" w:rsidRPr="00EE780A" w:rsidRDefault="007A6C6B" w:rsidP="007A6C6B">
      <w:pPr>
        <w:pStyle w:val="ListParagraph"/>
        <w:numPr>
          <w:ilvl w:val="1"/>
          <w:numId w:val="4"/>
        </w:numPr>
        <w:rPr>
          <w:rFonts w:asciiTheme="minorHAnsi" w:hAnsiTheme="minorHAnsi" w:cstheme="minorHAnsi"/>
          <w:lang w:eastAsia="en-GB"/>
        </w:rPr>
      </w:pPr>
      <w:r>
        <w:rPr>
          <w:rFonts w:asciiTheme="minorHAnsi" w:hAnsiTheme="minorHAnsi" w:cstheme="minorHAnsi"/>
          <w:lang w:eastAsia="en-GB"/>
        </w:rPr>
        <w:t>C</w:t>
      </w:r>
      <w:r w:rsidRPr="00EE780A">
        <w:rPr>
          <w:rFonts w:asciiTheme="minorHAnsi" w:hAnsiTheme="minorHAnsi" w:cstheme="minorHAnsi"/>
          <w:lang w:eastAsia="en-GB"/>
        </w:rPr>
        <w:t>ommunities</w:t>
      </w:r>
    </w:p>
    <w:p w14:paraId="0A580222" w14:textId="77777777" w:rsidR="007A6C6B" w:rsidRPr="00EE780A" w:rsidRDefault="007A6C6B" w:rsidP="007A6C6B">
      <w:pPr>
        <w:pStyle w:val="ListParagraph"/>
        <w:numPr>
          <w:ilvl w:val="1"/>
          <w:numId w:val="4"/>
        </w:numPr>
        <w:rPr>
          <w:rFonts w:asciiTheme="minorHAnsi" w:hAnsiTheme="minorHAnsi" w:cstheme="minorHAnsi"/>
          <w:lang w:eastAsia="en-GB"/>
        </w:rPr>
      </w:pPr>
      <w:r>
        <w:rPr>
          <w:rFonts w:asciiTheme="minorHAnsi" w:hAnsiTheme="minorHAnsi" w:cstheme="minorHAnsi"/>
          <w:lang w:eastAsia="en-GB"/>
        </w:rPr>
        <w:t>R</w:t>
      </w:r>
      <w:r w:rsidRPr="00EE780A">
        <w:rPr>
          <w:rFonts w:asciiTheme="minorHAnsi" w:hAnsiTheme="minorHAnsi" w:cstheme="minorHAnsi"/>
          <w:lang w:eastAsia="en-GB"/>
        </w:rPr>
        <w:t>egeneration</w:t>
      </w:r>
    </w:p>
    <w:p w14:paraId="6D5690C4" w14:textId="77777777" w:rsidR="007A6C6B" w:rsidRPr="00EE780A" w:rsidRDefault="007A6C6B" w:rsidP="007A6C6B">
      <w:pPr>
        <w:rPr>
          <w:rFonts w:asciiTheme="minorHAnsi" w:hAnsiTheme="minorHAnsi" w:cstheme="minorHAnsi"/>
          <w:lang w:eastAsia="en-GB"/>
        </w:rPr>
      </w:pPr>
      <w:r w:rsidRPr="00EE780A">
        <w:rPr>
          <w:rFonts w:asciiTheme="minorHAnsi" w:hAnsiTheme="minorHAnsi" w:cstheme="minorHAnsi"/>
          <w:lang w:eastAsia="en-GB"/>
        </w:rPr>
        <w:t xml:space="preserve">Of all the millennium projects, one in five (20%) had a science or technology element. </w:t>
      </w:r>
    </w:p>
    <w:p w14:paraId="2CFC94CF" w14:textId="77777777" w:rsidR="007A6C6B" w:rsidRPr="00EE780A" w:rsidRDefault="007A6C6B" w:rsidP="007A6C6B">
      <w:pPr>
        <w:rPr>
          <w:rFonts w:asciiTheme="minorHAnsi" w:hAnsiTheme="minorHAnsi" w:cstheme="minorHAnsi"/>
          <w:lang w:eastAsia="en-GB"/>
        </w:rPr>
      </w:pPr>
      <w:r w:rsidRPr="00EE780A">
        <w:rPr>
          <w:rFonts w:asciiTheme="minorHAnsi" w:hAnsiTheme="minorHAnsi" w:cstheme="minorHAnsi"/>
          <w:lang w:eastAsia="en-GB"/>
        </w:rPr>
        <w:t xml:space="preserve">In total, over £250 million was awarded to 14 Science Centres and two botanic gardens, with the money restricted for capital costs. The Science Centres were required to contribute 50% partnership funding and be self-supporting into the future. </w:t>
      </w:r>
    </w:p>
    <w:p w14:paraId="70E5885C" w14:textId="77777777" w:rsidR="007A6C6B" w:rsidRDefault="007A6C6B" w:rsidP="007A6C6B">
      <w:pPr>
        <w:spacing w:after="0" w:line="240" w:lineRule="auto"/>
        <w:rPr>
          <w:rFonts w:cs="Arial"/>
          <w:b/>
          <w:bCs/>
          <w:iCs/>
          <w:noProof/>
          <w:color w:val="2F5496" w:themeColor="accent1" w:themeShade="BF"/>
          <w:sz w:val="28"/>
          <w:szCs w:val="28"/>
          <w:lang w:eastAsia="en-GB"/>
        </w:rPr>
      </w:pPr>
      <w:r>
        <w:rPr>
          <w:noProof/>
          <w:lang w:eastAsia="en-GB"/>
        </w:rPr>
        <w:br w:type="page"/>
      </w:r>
    </w:p>
    <w:p w14:paraId="30AD3659" w14:textId="77777777" w:rsidR="007A6C6B" w:rsidRPr="00EE780A" w:rsidRDefault="007A6C6B" w:rsidP="007A6C6B">
      <w:pPr>
        <w:pStyle w:val="Heading2"/>
        <w:rPr>
          <w:noProof/>
          <w:lang w:eastAsia="en-GB"/>
        </w:rPr>
      </w:pPr>
      <w:bookmarkStart w:id="5" w:name="_Toc25879367"/>
      <w:r w:rsidRPr="00EE780A">
        <w:rPr>
          <w:noProof/>
          <w:lang w:eastAsia="en-GB"/>
        </w:rPr>
        <w:lastRenderedPageBreak/>
        <w:drawing>
          <wp:anchor distT="0" distB="0" distL="114300" distR="114300" simplePos="0" relativeHeight="251659264" behindDoc="0" locked="0" layoutInCell="1" allowOverlap="1" wp14:anchorId="6BE30855" wp14:editId="7FC3A740">
            <wp:simplePos x="0" y="0"/>
            <wp:positionH relativeFrom="column">
              <wp:posOffset>590316</wp:posOffset>
            </wp:positionH>
            <wp:positionV relativeFrom="paragraph">
              <wp:posOffset>479425</wp:posOffset>
            </wp:positionV>
            <wp:extent cx="4416425" cy="1885950"/>
            <wp:effectExtent l="0" t="0" r="3175" b="0"/>
            <wp:wrapNone/>
            <wp:docPr id="62469" name="Picture 2" descr="http://sciencecentres.org.uk/images/w5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2" descr="http://sciencecentres.org.uk/images/w5_cover.jpg"/>
                    <pic:cNvPicPr>
                      <a:picLocks noChangeAspect="1" noChangeArrowheads="1"/>
                    </pic:cNvPicPr>
                  </pic:nvPicPr>
                  <pic:blipFill>
                    <a:blip r:embed="rId6" cstate="print"/>
                    <a:srcRect/>
                    <a:stretch>
                      <a:fillRect/>
                    </a:stretch>
                  </pic:blipFill>
                  <pic:spPr bwMode="auto">
                    <a:xfrm>
                      <a:off x="0" y="0"/>
                      <a:ext cx="4416425" cy="1885950"/>
                    </a:xfrm>
                    <a:prstGeom prst="rect">
                      <a:avLst/>
                    </a:prstGeom>
                    <a:noFill/>
                    <a:ln w="9525">
                      <a:noFill/>
                      <a:miter lim="800000"/>
                      <a:headEnd/>
                      <a:tailEnd/>
                    </a:ln>
                  </pic:spPr>
                </pic:pic>
              </a:graphicData>
            </a:graphic>
          </wp:anchor>
        </w:drawing>
      </w:r>
      <w:r w:rsidRPr="00EE780A">
        <w:rPr>
          <w:noProof/>
          <w:lang w:eastAsia="en-GB"/>
        </w:rPr>
        <w:t xml:space="preserve">Which </w:t>
      </w:r>
      <w:r>
        <w:rPr>
          <w:noProof/>
          <w:lang w:eastAsia="en-GB"/>
        </w:rPr>
        <w:t>Science C</w:t>
      </w:r>
      <w:r w:rsidRPr="00EE780A">
        <w:rPr>
          <w:noProof/>
          <w:lang w:eastAsia="en-GB"/>
        </w:rPr>
        <w:t>entres a</w:t>
      </w:r>
      <w:r>
        <w:rPr>
          <w:noProof/>
          <w:lang w:eastAsia="en-GB"/>
        </w:rPr>
        <w:t>re</w:t>
      </w:r>
      <w:r w:rsidRPr="00EE780A">
        <w:rPr>
          <w:noProof/>
          <w:lang w:eastAsia="en-GB"/>
        </w:rPr>
        <w:t xml:space="preserve"> Millenium Centres?</w:t>
      </w:r>
      <w:bookmarkEnd w:id="5"/>
    </w:p>
    <w:p w14:paraId="000AB0CE" w14:textId="77777777" w:rsidR="007A6C6B" w:rsidRPr="00EE780A" w:rsidRDefault="007A6C6B" w:rsidP="007A6C6B">
      <w:pPr>
        <w:rPr>
          <w:lang w:eastAsia="en-GB"/>
        </w:rPr>
      </w:pPr>
    </w:p>
    <w:p w14:paraId="352D725A" w14:textId="77777777" w:rsidR="007A6C6B" w:rsidRPr="00EE780A" w:rsidRDefault="007A6C6B" w:rsidP="007A6C6B">
      <w:pPr>
        <w:rPr>
          <w:lang w:eastAsia="en-GB"/>
        </w:rPr>
      </w:pPr>
    </w:p>
    <w:p w14:paraId="2B88C449" w14:textId="77777777" w:rsidR="007A6C6B" w:rsidRPr="00EE780A" w:rsidRDefault="007A6C6B" w:rsidP="007A6C6B">
      <w:pPr>
        <w:rPr>
          <w:lang w:eastAsia="en-GB"/>
        </w:rPr>
      </w:pPr>
    </w:p>
    <w:p w14:paraId="38DEE09D" w14:textId="77777777" w:rsidR="007A6C6B" w:rsidRPr="00EE780A" w:rsidRDefault="007A6C6B" w:rsidP="007A6C6B">
      <w:pPr>
        <w:rPr>
          <w:lang w:eastAsia="en-GB"/>
        </w:rPr>
      </w:pPr>
    </w:p>
    <w:p w14:paraId="595BB46F" w14:textId="77777777" w:rsidR="007A6C6B" w:rsidRPr="00EE780A" w:rsidRDefault="007A6C6B" w:rsidP="007A6C6B">
      <w:pPr>
        <w:rPr>
          <w:lang w:eastAsia="en-GB"/>
        </w:rPr>
      </w:pPr>
    </w:p>
    <w:p w14:paraId="2E25F884" w14:textId="77777777" w:rsidR="007A6C6B" w:rsidRPr="00EE780A" w:rsidRDefault="007A6C6B" w:rsidP="007A6C6B">
      <w:pPr>
        <w:rPr>
          <w:lang w:eastAsia="en-GB"/>
        </w:rPr>
      </w:pPr>
    </w:p>
    <w:p w14:paraId="01BBB2E7" w14:textId="77777777" w:rsidR="007A6C6B" w:rsidRPr="00EE780A" w:rsidRDefault="007A6C6B" w:rsidP="007A6C6B">
      <w:pPr>
        <w:rPr>
          <w:lang w:eastAsia="en-GB"/>
        </w:rPr>
      </w:pPr>
    </w:p>
    <w:p w14:paraId="18CAFE52" w14:textId="2B873EF2" w:rsidR="007A6C6B" w:rsidRDefault="007A6C6B" w:rsidP="007A6C6B">
      <w:pPr>
        <w:rPr>
          <w:lang w:eastAsia="en-GB"/>
        </w:rPr>
      </w:pPr>
      <w:r w:rsidRPr="00EE780A">
        <w:rPr>
          <w:lang w:eastAsia="en-GB"/>
        </w:rPr>
        <w:t xml:space="preserve">The following charitable Science Centres were set up at the Millennium. </w:t>
      </w:r>
      <w:r>
        <w:rPr>
          <w:lang w:eastAsia="en-GB"/>
        </w:rPr>
        <w:t xml:space="preserve">They were created with a mix of investment, including a substantial grant from the </w:t>
      </w:r>
      <w:r w:rsidRPr="00EE780A">
        <w:rPr>
          <w:lang w:eastAsia="en-GB"/>
        </w:rPr>
        <w:t>Millennium</w:t>
      </w:r>
      <w:r>
        <w:rPr>
          <w:lang w:eastAsia="en-GB"/>
        </w:rPr>
        <w:t xml:space="preserve"> Commission and are therefore known as Millennium Commission centres. </w:t>
      </w:r>
      <w:r w:rsidRPr="00EE780A">
        <w:rPr>
          <w:lang w:eastAsia="en-GB"/>
        </w:rPr>
        <w:t xml:space="preserve">Many were urban regeneration projects and some (e.g. W5 and </w:t>
      </w:r>
      <w:r>
        <w:rPr>
          <w:lang w:eastAsia="en-GB"/>
        </w:rPr>
        <w:t>T</w:t>
      </w:r>
      <w:r w:rsidRPr="00EE780A">
        <w:rPr>
          <w:lang w:eastAsia="en-GB"/>
        </w:rPr>
        <w:t>hinktank) were within larger city redevelopments housing other community facilities. All</w:t>
      </w:r>
      <w:r>
        <w:rPr>
          <w:lang w:eastAsia="en-GB"/>
        </w:rPr>
        <w:t xml:space="preserve"> 11</w:t>
      </w:r>
      <w:r w:rsidRPr="00EE780A">
        <w:rPr>
          <w:lang w:eastAsia="en-GB"/>
        </w:rPr>
        <w:t xml:space="preserve"> are members of ASDC.</w:t>
      </w:r>
    </w:p>
    <w:p w14:paraId="7E868FAB" w14:textId="1E6F5346" w:rsidR="007A6C6B" w:rsidRPr="007A6C6B" w:rsidRDefault="007A6C6B" w:rsidP="007A6C6B">
      <w:pPr>
        <w:rPr>
          <w:b/>
          <w:bCs/>
          <w:lang w:eastAsia="en-GB"/>
        </w:rPr>
      </w:pPr>
      <w:r w:rsidRPr="007A6C6B">
        <w:rPr>
          <w:b/>
          <w:bCs/>
          <w:lang w:eastAsia="en-GB"/>
        </w:rPr>
        <w:t>Science and Discovery Centres</w:t>
      </w:r>
    </w:p>
    <w:p w14:paraId="3E8B3E53" w14:textId="77777777" w:rsidR="007A6C6B" w:rsidRDefault="007A6C6B" w:rsidP="007A6C6B">
      <w:pPr>
        <w:pStyle w:val="ListParagraph"/>
        <w:numPr>
          <w:ilvl w:val="0"/>
          <w:numId w:val="2"/>
        </w:numPr>
        <w:rPr>
          <w:rFonts w:asciiTheme="minorHAnsi" w:hAnsiTheme="minorHAnsi" w:cstheme="minorHAnsi"/>
          <w:lang w:eastAsia="en-GB"/>
        </w:rPr>
      </w:pPr>
      <w:bookmarkStart w:id="6" w:name="_Hlk21350504"/>
      <w:bookmarkStart w:id="7" w:name="_Hlk22866214"/>
      <w:r w:rsidRPr="00EE780A">
        <w:rPr>
          <w:rFonts w:asciiTheme="minorHAnsi" w:hAnsiTheme="minorHAnsi" w:cstheme="minorHAnsi"/>
          <w:lang w:eastAsia="en-GB"/>
        </w:rPr>
        <w:t>Millennium Point, Birmingham (Thinktank)</w:t>
      </w:r>
    </w:p>
    <w:p w14:paraId="7EE2B8E9" w14:textId="77777777" w:rsidR="007A6C6B" w:rsidRPr="00EE780A" w:rsidRDefault="007A6C6B" w:rsidP="007A6C6B">
      <w:pPr>
        <w:pStyle w:val="ListParagraph"/>
        <w:numPr>
          <w:ilvl w:val="0"/>
          <w:numId w:val="2"/>
        </w:numPr>
        <w:rPr>
          <w:rFonts w:asciiTheme="minorHAnsi" w:hAnsiTheme="minorHAnsi" w:cstheme="minorHAnsi"/>
          <w:lang w:eastAsia="en-GB"/>
        </w:rPr>
      </w:pPr>
      <w:r>
        <w:rPr>
          <w:rFonts w:asciiTheme="minorHAnsi" w:hAnsiTheme="minorHAnsi" w:cstheme="minorHAnsi"/>
          <w:lang w:eastAsia="en-GB"/>
        </w:rPr>
        <w:t>Dundee Science Centre</w:t>
      </w:r>
    </w:p>
    <w:p w14:paraId="5ADCBCC7" w14:textId="77777777" w:rsidR="007A6C6B" w:rsidRPr="00EE780A" w:rsidRDefault="007A6C6B" w:rsidP="007A6C6B">
      <w:pPr>
        <w:pStyle w:val="ListParagraph"/>
        <w:numPr>
          <w:ilvl w:val="0"/>
          <w:numId w:val="2"/>
        </w:numPr>
        <w:rPr>
          <w:rFonts w:asciiTheme="minorHAnsi" w:hAnsiTheme="minorHAnsi" w:cstheme="minorHAnsi"/>
          <w:lang w:eastAsia="en-GB"/>
        </w:rPr>
      </w:pPr>
      <w:r w:rsidRPr="00EE780A">
        <w:rPr>
          <w:rFonts w:asciiTheme="minorHAnsi" w:hAnsiTheme="minorHAnsi" w:cstheme="minorHAnsi"/>
          <w:lang w:eastAsia="en-GB"/>
        </w:rPr>
        <w:t>The Odyssey, Belfast (W5)</w:t>
      </w:r>
    </w:p>
    <w:p w14:paraId="6142FB21" w14:textId="77777777" w:rsidR="007A6C6B" w:rsidRPr="00EE780A" w:rsidRDefault="007A6C6B" w:rsidP="007A6C6B">
      <w:pPr>
        <w:pStyle w:val="ListParagraph"/>
        <w:numPr>
          <w:ilvl w:val="0"/>
          <w:numId w:val="2"/>
        </w:numPr>
        <w:rPr>
          <w:rFonts w:asciiTheme="minorHAnsi" w:hAnsiTheme="minorHAnsi" w:cstheme="minorHAnsi"/>
          <w:lang w:eastAsia="en-GB"/>
        </w:rPr>
      </w:pPr>
      <w:r w:rsidRPr="00EE780A">
        <w:rPr>
          <w:rFonts w:asciiTheme="minorHAnsi" w:hAnsiTheme="minorHAnsi" w:cstheme="minorHAnsi"/>
          <w:lang w:eastAsia="en-GB"/>
        </w:rPr>
        <w:t>At-Bristol</w:t>
      </w:r>
    </w:p>
    <w:p w14:paraId="61A8FCD9" w14:textId="77777777" w:rsidR="007A6C6B" w:rsidRPr="00EE780A" w:rsidRDefault="007A6C6B" w:rsidP="007A6C6B">
      <w:pPr>
        <w:pStyle w:val="ListParagraph"/>
        <w:numPr>
          <w:ilvl w:val="0"/>
          <w:numId w:val="2"/>
        </w:numPr>
        <w:rPr>
          <w:rFonts w:asciiTheme="minorHAnsi" w:hAnsiTheme="minorHAnsi" w:cstheme="minorHAnsi"/>
          <w:lang w:eastAsia="en-GB"/>
        </w:rPr>
      </w:pPr>
      <w:r w:rsidRPr="00EE780A">
        <w:rPr>
          <w:rFonts w:asciiTheme="minorHAnsi" w:hAnsiTheme="minorHAnsi" w:cstheme="minorHAnsi"/>
          <w:lang w:eastAsia="en-GB"/>
        </w:rPr>
        <w:t>Glasgow Science Centre</w:t>
      </w:r>
    </w:p>
    <w:p w14:paraId="2AF90533" w14:textId="77777777" w:rsidR="007A6C6B" w:rsidRPr="00EE780A" w:rsidRDefault="007A6C6B" w:rsidP="007A6C6B">
      <w:pPr>
        <w:pStyle w:val="ListParagraph"/>
        <w:numPr>
          <w:ilvl w:val="0"/>
          <w:numId w:val="2"/>
        </w:numPr>
        <w:rPr>
          <w:rFonts w:asciiTheme="minorHAnsi" w:hAnsiTheme="minorHAnsi" w:cstheme="minorHAnsi"/>
          <w:lang w:eastAsia="en-GB"/>
        </w:rPr>
      </w:pPr>
      <w:r w:rsidRPr="00EE780A">
        <w:rPr>
          <w:rFonts w:asciiTheme="minorHAnsi" w:hAnsiTheme="minorHAnsi" w:cstheme="minorHAnsi"/>
          <w:lang w:eastAsia="en-GB"/>
        </w:rPr>
        <w:t>The International Centre for Life, Newcastle</w:t>
      </w:r>
    </w:p>
    <w:p w14:paraId="2E492C60" w14:textId="77777777" w:rsidR="007A6C6B" w:rsidRPr="00EE780A" w:rsidRDefault="007A6C6B" w:rsidP="007A6C6B">
      <w:pPr>
        <w:pStyle w:val="ListParagraph"/>
        <w:numPr>
          <w:ilvl w:val="0"/>
          <w:numId w:val="2"/>
        </w:numPr>
        <w:rPr>
          <w:rFonts w:asciiTheme="minorHAnsi" w:hAnsiTheme="minorHAnsi" w:cstheme="minorHAnsi"/>
          <w:lang w:eastAsia="en-GB"/>
        </w:rPr>
      </w:pPr>
      <w:r w:rsidRPr="00EE780A">
        <w:rPr>
          <w:rFonts w:asciiTheme="minorHAnsi" w:hAnsiTheme="minorHAnsi" w:cstheme="minorHAnsi"/>
          <w:lang w:eastAsia="en-GB"/>
        </w:rPr>
        <w:t>National Space Science Centre, Leicester</w:t>
      </w:r>
    </w:p>
    <w:p w14:paraId="48383737" w14:textId="77777777" w:rsidR="007A6C6B" w:rsidRPr="00EE780A" w:rsidRDefault="007A6C6B" w:rsidP="007A6C6B">
      <w:pPr>
        <w:pStyle w:val="ListParagraph"/>
        <w:numPr>
          <w:ilvl w:val="0"/>
          <w:numId w:val="2"/>
        </w:numPr>
        <w:rPr>
          <w:rFonts w:asciiTheme="minorHAnsi" w:hAnsiTheme="minorHAnsi" w:cstheme="minorHAnsi"/>
          <w:lang w:eastAsia="en-GB"/>
        </w:rPr>
      </w:pPr>
      <w:r w:rsidRPr="00EE780A">
        <w:rPr>
          <w:rFonts w:asciiTheme="minorHAnsi" w:hAnsiTheme="minorHAnsi" w:cstheme="minorHAnsi"/>
          <w:lang w:eastAsia="en-GB"/>
        </w:rPr>
        <w:t>Magna, Rotherham</w:t>
      </w:r>
    </w:p>
    <w:p w14:paraId="2FAB18BD" w14:textId="77777777" w:rsidR="007A6C6B" w:rsidRPr="00EE780A" w:rsidRDefault="007A6C6B" w:rsidP="007A6C6B">
      <w:pPr>
        <w:pStyle w:val="ListParagraph"/>
        <w:numPr>
          <w:ilvl w:val="0"/>
          <w:numId w:val="2"/>
        </w:numPr>
        <w:rPr>
          <w:rFonts w:asciiTheme="minorHAnsi" w:hAnsiTheme="minorHAnsi" w:cstheme="minorHAnsi"/>
          <w:lang w:eastAsia="en-GB"/>
        </w:rPr>
      </w:pPr>
      <w:r w:rsidRPr="00EE780A">
        <w:rPr>
          <w:rFonts w:asciiTheme="minorHAnsi" w:hAnsiTheme="minorHAnsi" w:cstheme="minorHAnsi"/>
          <w:lang w:eastAsia="en-GB"/>
        </w:rPr>
        <w:t>Our Dynamic Earth, Edinburgh</w:t>
      </w:r>
    </w:p>
    <w:p w14:paraId="51E0E9BE" w14:textId="77777777" w:rsidR="007A6C6B" w:rsidRPr="00EE780A" w:rsidRDefault="007A6C6B" w:rsidP="007A6C6B">
      <w:pPr>
        <w:pStyle w:val="ListParagraph"/>
        <w:numPr>
          <w:ilvl w:val="0"/>
          <w:numId w:val="2"/>
        </w:numPr>
        <w:rPr>
          <w:rFonts w:asciiTheme="minorHAnsi" w:hAnsiTheme="minorHAnsi" w:cstheme="minorHAnsi"/>
          <w:lang w:eastAsia="en-GB"/>
        </w:rPr>
      </w:pPr>
      <w:r w:rsidRPr="00EE780A">
        <w:rPr>
          <w:rFonts w:asciiTheme="minorHAnsi" w:hAnsiTheme="minorHAnsi" w:cstheme="minorHAnsi"/>
          <w:lang w:eastAsia="en-GB"/>
        </w:rPr>
        <w:t>Winchester Science Centre (formerly INTECH 2000), Hampshire</w:t>
      </w:r>
    </w:p>
    <w:p w14:paraId="3C740B1F" w14:textId="77777777" w:rsidR="007A6C6B" w:rsidRDefault="007A6C6B" w:rsidP="007A6C6B">
      <w:pPr>
        <w:pStyle w:val="ListParagraph"/>
        <w:numPr>
          <w:ilvl w:val="0"/>
          <w:numId w:val="2"/>
        </w:numPr>
        <w:rPr>
          <w:rFonts w:asciiTheme="minorHAnsi" w:hAnsiTheme="minorHAnsi" w:cstheme="minorHAnsi"/>
          <w:lang w:eastAsia="en-GB"/>
        </w:rPr>
      </w:pPr>
      <w:r w:rsidRPr="00EE780A">
        <w:rPr>
          <w:rFonts w:asciiTheme="minorHAnsi" w:hAnsiTheme="minorHAnsi" w:cstheme="minorHAnsi"/>
          <w:lang w:eastAsia="en-GB"/>
        </w:rPr>
        <w:t>The Eden Project, Cornwall</w:t>
      </w:r>
    </w:p>
    <w:bookmarkEnd w:id="6"/>
    <w:p w14:paraId="6EC58B8B" w14:textId="77777777" w:rsidR="007A6C6B" w:rsidRDefault="007A6C6B" w:rsidP="007A6C6B">
      <w:pPr>
        <w:pStyle w:val="ListParagraph"/>
        <w:ind w:left="360"/>
        <w:rPr>
          <w:rFonts w:asciiTheme="minorHAnsi" w:hAnsiTheme="minorHAnsi" w:cstheme="minorHAnsi"/>
          <w:b/>
          <w:bCs/>
          <w:i/>
          <w:iCs/>
          <w:lang w:eastAsia="en-GB"/>
        </w:rPr>
      </w:pPr>
    </w:p>
    <w:p w14:paraId="4ADB69B8" w14:textId="5CBA3664" w:rsidR="007A6C6B" w:rsidRPr="00EE780A" w:rsidRDefault="007A6C6B" w:rsidP="007A6C6B">
      <w:pPr>
        <w:pStyle w:val="ListParagraph"/>
        <w:ind w:left="360"/>
        <w:rPr>
          <w:rFonts w:asciiTheme="minorHAnsi" w:hAnsiTheme="minorHAnsi" w:cstheme="minorHAnsi"/>
          <w:b/>
          <w:bCs/>
          <w:i/>
          <w:iCs/>
          <w:lang w:eastAsia="en-GB"/>
        </w:rPr>
      </w:pPr>
      <w:r w:rsidRPr="00EE780A">
        <w:rPr>
          <w:rFonts w:asciiTheme="minorHAnsi" w:hAnsiTheme="minorHAnsi" w:cstheme="minorHAnsi"/>
          <w:b/>
          <w:bCs/>
          <w:i/>
          <w:iCs/>
          <w:lang w:eastAsia="en-GB"/>
        </w:rPr>
        <w:t>Botanic Gardens</w:t>
      </w:r>
      <w:r>
        <w:rPr>
          <w:rFonts w:asciiTheme="minorHAnsi" w:hAnsiTheme="minorHAnsi" w:cstheme="minorHAnsi"/>
          <w:b/>
          <w:bCs/>
          <w:i/>
          <w:iCs/>
          <w:lang w:eastAsia="en-GB"/>
        </w:rPr>
        <w:t xml:space="preserve"> and Aquaria</w:t>
      </w:r>
    </w:p>
    <w:p w14:paraId="5E73A04B" w14:textId="77777777" w:rsidR="007A6C6B" w:rsidRPr="00974BF1" w:rsidRDefault="007A6C6B" w:rsidP="007A6C6B">
      <w:pPr>
        <w:pStyle w:val="ListParagraph"/>
        <w:numPr>
          <w:ilvl w:val="0"/>
          <w:numId w:val="2"/>
        </w:numPr>
        <w:rPr>
          <w:rFonts w:asciiTheme="minorHAnsi" w:hAnsiTheme="minorHAnsi" w:cstheme="minorHAnsi"/>
          <w:i/>
          <w:iCs/>
          <w:lang w:eastAsia="en-GB"/>
        </w:rPr>
      </w:pPr>
      <w:r w:rsidRPr="00974BF1">
        <w:rPr>
          <w:rFonts w:asciiTheme="minorHAnsi" w:hAnsiTheme="minorHAnsi" w:cstheme="minorHAnsi"/>
          <w:i/>
          <w:iCs/>
          <w:lang w:eastAsia="en-GB"/>
        </w:rPr>
        <w:t>The Deep, Kingston upon Hull</w:t>
      </w:r>
    </w:p>
    <w:p w14:paraId="14D93F08" w14:textId="77777777" w:rsidR="007A6C6B" w:rsidRPr="00974BF1" w:rsidRDefault="007A6C6B" w:rsidP="007A6C6B">
      <w:pPr>
        <w:pStyle w:val="ListParagraph"/>
        <w:numPr>
          <w:ilvl w:val="0"/>
          <w:numId w:val="2"/>
        </w:numPr>
        <w:rPr>
          <w:rFonts w:asciiTheme="minorHAnsi" w:hAnsiTheme="minorHAnsi" w:cstheme="minorHAnsi"/>
          <w:i/>
          <w:iCs/>
          <w:lang w:eastAsia="en-GB"/>
        </w:rPr>
      </w:pPr>
      <w:r w:rsidRPr="00974BF1">
        <w:rPr>
          <w:rFonts w:asciiTheme="minorHAnsi" w:hAnsiTheme="minorHAnsi" w:cstheme="minorHAnsi"/>
          <w:i/>
          <w:iCs/>
          <w:lang w:eastAsia="en-GB"/>
        </w:rPr>
        <w:t>The Scottish Seabird Centre</w:t>
      </w:r>
    </w:p>
    <w:p w14:paraId="6D53CAF4" w14:textId="77777777" w:rsidR="007A6C6B" w:rsidRPr="00974BF1" w:rsidRDefault="007A6C6B" w:rsidP="007A6C6B">
      <w:pPr>
        <w:pStyle w:val="ListParagraph"/>
        <w:numPr>
          <w:ilvl w:val="0"/>
          <w:numId w:val="2"/>
        </w:numPr>
        <w:rPr>
          <w:rFonts w:asciiTheme="minorHAnsi" w:hAnsiTheme="minorHAnsi" w:cstheme="minorHAnsi"/>
          <w:i/>
          <w:iCs/>
          <w:lang w:eastAsia="en-GB"/>
        </w:rPr>
      </w:pPr>
      <w:r w:rsidRPr="00974BF1">
        <w:rPr>
          <w:rFonts w:asciiTheme="minorHAnsi" w:hAnsiTheme="minorHAnsi" w:cstheme="minorHAnsi"/>
          <w:i/>
          <w:iCs/>
          <w:lang w:eastAsia="en-GB"/>
        </w:rPr>
        <w:t>Millennium Seed Bank, Sussex</w:t>
      </w:r>
    </w:p>
    <w:p w14:paraId="429DE38F" w14:textId="77777777" w:rsidR="007A6C6B" w:rsidRDefault="007A6C6B" w:rsidP="007A6C6B">
      <w:pPr>
        <w:pStyle w:val="ListParagraph"/>
        <w:numPr>
          <w:ilvl w:val="0"/>
          <w:numId w:val="2"/>
        </w:numPr>
        <w:rPr>
          <w:rFonts w:asciiTheme="minorHAnsi" w:hAnsiTheme="minorHAnsi" w:cstheme="minorHAnsi"/>
          <w:i/>
          <w:iCs/>
          <w:lang w:eastAsia="en-GB"/>
        </w:rPr>
      </w:pPr>
      <w:r w:rsidRPr="00974BF1">
        <w:rPr>
          <w:rFonts w:asciiTheme="minorHAnsi" w:hAnsiTheme="minorHAnsi" w:cstheme="minorHAnsi"/>
          <w:i/>
          <w:iCs/>
          <w:lang w:eastAsia="en-GB"/>
        </w:rPr>
        <w:t>National Botanic Garden of Wales</w:t>
      </w:r>
      <w:bookmarkEnd w:id="7"/>
    </w:p>
    <w:p w14:paraId="3E2FB499" w14:textId="77777777" w:rsidR="007A6C6B" w:rsidRDefault="007A6C6B" w:rsidP="007A6C6B">
      <w:pPr>
        <w:pStyle w:val="Heading3"/>
        <w:rPr>
          <w:lang w:eastAsia="en-GB"/>
        </w:rPr>
      </w:pPr>
      <w:bookmarkStart w:id="8" w:name="_Toc25879368"/>
      <w:r>
        <w:rPr>
          <w:lang w:eastAsia="en-GB"/>
        </w:rPr>
        <w:t>ReDiscover</w:t>
      </w:r>
      <w:bookmarkEnd w:id="8"/>
    </w:p>
    <w:p w14:paraId="1E7A3A59" w14:textId="6A760265" w:rsidR="007A6C6B" w:rsidRPr="007A6C6B" w:rsidRDefault="007A6C6B" w:rsidP="007A6C6B">
      <w:pPr>
        <w:rPr>
          <w:rFonts w:asciiTheme="minorHAnsi" w:hAnsiTheme="minorHAnsi" w:cstheme="minorHAnsi"/>
          <w:lang w:eastAsia="en-GB"/>
        </w:rPr>
      </w:pPr>
      <w:r w:rsidRPr="00974BF1">
        <w:rPr>
          <w:rFonts w:asciiTheme="minorHAnsi" w:hAnsiTheme="minorHAnsi" w:cstheme="minorHAnsi"/>
          <w:lang w:eastAsia="en-GB"/>
        </w:rPr>
        <w:t xml:space="preserve">Often you will see additional centres being talked about as having had Millennium Commission funding. This </w:t>
      </w:r>
      <w:r>
        <w:rPr>
          <w:rFonts w:asciiTheme="minorHAnsi" w:hAnsiTheme="minorHAnsi" w:cstheme="minorHAnsi"/>
          <w:lang w:eastAsia="en-GB"/>
        </w:rPr>
        <w:t xml:space="preserve">however does not mean they were set up with a funding mix that included investment from the </w:t>
      </w:r>
      <w:r w:rsidRPr="00974BF1">
        <w:rPr>
          <w:rFonts w:asciiTheme="minorHAnsi" w:hAnsiTheme="minorHAnsi" w:cstheme="minorHAnsi"/>
          <w:lang w:eastAsia="en-GB"/>
        </w:rPr>
        <w:t>Millennium Commission</w:t>
      </w:r>
      <w:r>
        <w:rPr>
          <w:rFonts w:asciiTheme="minorHAnsi" w:hAnsiTheme="minorHAnsi" w:cstheme="minorHAnsi"/>
          <w:lang w:eastAsia="en-GB"/>
        </w:rPr>
        <w:t xml:space="preserve">, but rather </w:t>
      </w:r>
      <w:r w:rsidRPr="00974BF1">
        <w:rPr>
          <w:rFonts w:asciiTheme="minorHAnsi" w:hAnsiTheme="minorHAnsi" w:cstheme="minorHAnsi"/>
          <w:lang w:eastAsia="en-GB"/>
        </w:rPr>
        <w:t xml:space="preserve">they </w:t>
      </w:r>
      <w:r>
        <w:rPr>
          <w:rFonts w:asciiTheme="minorHAnsi" w:hAnsiTheme="minorHAnsi" w:cstheme="minorHAnsi"/>
          <w:lang w:eastAsia="en-GB"/>
        </w:rPr>
        <w:t>were awarded</w:t>
      </w:r>
      <w:r w:rsidRPr="00974BF1">
        <w:rPr>
          <w:rFonts w:asciiTheme="minorHAnsi" w:hAnsiTheme="minorHAnsi" w:cstheme="minorHAnsi"/>
          <w:lang w:eastAsia="en-GB"/>
        </w:rPr>
        <w:t xml:space="preserve"> smaller grants through ReDiscover. This was a later and separate round of funding for science centres in 2002</w:t>
      </w:r>
      <w:r>
        <w:rPr>
          <w:rFonts w:asciiTheme="minorHAnsi" w:hAnsiTheme="minorHAnsi" w:cstheme="minorHAnsi"/>
          <w:lang w:eastAsia="en-GB"/>
        </w:rPr>
        <w:t>-3</w:t>
      </w:r>
      <w:r w:rsidRPr="00974BF1">
        <w:rPr>
          <w:rFonts w:asciiTheme="minorHAnsi" w:hAnsiTheme="minorHAnsi" w:cstheme="minorHAnsi"/>
          <w:lang w:eastAsia="en-GB"/>
        </w:rPr>
        <w:t xml:space="preserve">, which was a joint venture </w:t>
      </w:r>
      <w:r>
        <w:rPr>
          <w:rFonts w:asciiTheme="minorHAnsi" w:hAnsiTheme="minorHAnsi" w:cstheme="minorHAnsi"/>
          <w:lang w:eastAsia="en-GB"/>
        </w:rPr>
        <w:t>between</w:t>
      </w:r>
      <w:r w:rsidRPr="00974BF1">
        <w:rPr>
          <w:rFonts w:asciiTheme="minorHAnsi" w:hAnsiTheme="minorHAnsi" w:cstheme="minorHAnsi"/>
          <w:lang w:eastAsia="en-GB"/>
        </w:rPr>
        <w:t xml:space="preserve"> the Wellcome Trust</w:t>
      </w:r>
      <w:r>
        <w:rPr>
          <w:rFonts w:asciiTheme="minorHAnsi" w:hAnsiTheme="minorHAnsi" w:cstheme="minorHAnsi"/>
          <w:lang w:eastAsia="en-GB"/>
        </w:rPr>
        <w:t xml:space="preserve">, </w:t>
      </w:r>
      <w:r w:rsidRPr="00974BF1">
        <w:rPr>
          <w:rFonts w:asciiTheme="minorHAnsi" w:hAnsiTheme="minorHAnsi" w:cstheme="minorHAnsi"/>
          <w:lang w:eastAsia="en-GB"/>
        </w:rPr>
        <w:t>the Wolfson Foundation</w:t>
      </w:r>
      <w:r>
        <w:rPr>
          <w:rFonts w:asciiTheme="minorHAnsi" w:hAnsiTheme="minorHAnsi" w:cstheme="minorHAnsi"/>
          <w:lang w:eastAsia="en-GB"/>
        </w:rPr>
        <w:t xml:space="preserve"> and the </w:t>
      </w:r>
      <w:r w:rsidRPr="00974BF1">
        <w:rPr>
          <w:rFonts w:asciiTheme="minorHAnsi" w:hAnsiTheme="minorHAnsi" w:cstheme="minorHAnsi"/>
          <w:lang w:eastAsia="en-GB"/>
        </w:rPr>
        <w:t>Millennium Commission.</w:t>
      </w:r>
    </w:p>
    <w:p w14:paraId="521D29F8" w14:textId="77777777" w:rsidR="007A6C6B" w:rsidRPr="00EE780A" w:rsidRDefault="007A6C6B" w:rsidP="007A6C6B">
      <w:pPr>
        <w:pStyle w:val="Heading2"/>
      </w:pPr>
      <w:bookmarkStart w:id="9" w:name="_Toc25879369"/>
      <w:r w:rsidRPr="00EE780A">
        <w:t xml:space="preserve">The Wellcome Trust contribution to the </w:t>
      </w:r>
      <w:r w:rsidRPr="00EE780A">
        <w:rPr>
          <w:rFonts w:asciiTheme="minorHAnsi" w:hAnsiTheme="minorHAnsi" w:cstheme="minorHAnsi"/>
          <w:noProof/>
          <w:lang w:eastAsia="en-GB"/>
        </w:rPr>
        <w:t>Millenium Centres</w:t>
      </w:r>
      <w:bookmarkEnd w:id="9"/>
    </w:p>
    <w:p w14:paraId="43DFED6E" w14:textId="77777777" w:rsidR="007A6C6B" w:rsidRPr="00EE780A" w:rsidRDefault="007A6C6B" w:rsidP="007A6C6B">
      <w:pPr>
        <w:rPr>
          <w:rFonts w:asciiTheme="minorHAnsi" w:hAnsiTheme="minorHAnsi" w:cstheme="minorHAnsi"/>
          <w:color w:val="1F497D"/>
        </w:rPr>
      </w:pPr>
      <w:r w:rsidRPr="00EE780A">
        <w:rPr>
          <w:rFonts w:asciiTheme="minorHAnsi" w:hAnsiTheme="minorHAnsi" w:cstheme="minorHAnsi"/>
        </w:rPr>
        <w:t>The Wellcome Trust awarded £37 million to seven Millennium Science Centres (Ref: Parliamentary Office of Science and Technology).</w:t>
      </w:r>
    </w:p>
    <w:p w14:paraId="00A462BE" w14:textId="77777777" w:rsidR="007A6C6B" w:rsidRDefault="007A6C6B" w:rsidP="007A6C6B">
      <w:r w:rsidRPr="00EE780A">
        <w:rPr>
          <w:rFonts w:asciiTheme="minorHAnsi" w:hAnsiTheme="minorHAnsi" w:cstheme="minorHAnsi"/>
          <w:noProof/>
          <w:lang w:eastAsia="en-GB"/>
        </w:rPr>
        <w:drawing>
          <wp:anchor distT="0" distB="0" distL="114300" distR="114300" simplePos="0" relativeHeight="251660288" behindDoc="0" locked="0" layoutInCell="1" allowOverlap="1" wp14:anchorId="0FF4448E" wp14:editId="28F6AA45">
            <wp:simplePos x="0" y="0"/>
            <wp:positionH relativeFrom="margin">
              <wp:align>left</wp:align>
            </wp:positionH>
            <wp:positionV relativeFrom="paragraph">
              <wp:posOffset>721654</wp:posOffset>
            </wp:positionV>
            <wp:extent cx="5495925" cy="3152140"/>
            <wp:effectExtent l="0" t="0" r="9525" b="0"/>
            <wp:wrapTopAndBottom/>
            <wp:docPr id="8" name="Picture 7" descr="A picture containing sky, outdoor, sitting, nature&#10;&#10;Description automatically generated">
              <a:extLst xmlns:a="http://schemas.openxmlformats.org/drawingml/2006/main">
                <a:ext uri="{FF2B5EF4-FFF2-40B4-BE49-F238E27FC236}">
                  <a16:creationId xmlns:a16="http://schemas.microsoft.com/office/drawing/2014/main" id="{98743439-F82D-49C8-BBE9-C0B81FD9E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sky, outdoor, sitting, nature&#10;&#10;Description automatically generated">
                      <a:extLst>
                        <a:ext uri="{FF2B5EF4-FFF2-40B4-BE49-F238E27FC236}">
                          <a16:creationId xmlns:a16="http://schemas.microsoft.com/office/drawing/2014/main" id="{98743439-F82D-49C8-BBE9-C0B81FD9E56D}"/>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370" t="-3215" r="370" b="10454"/>
                    <a:stretch/>
                  </pic:blipFill>
                  <pic:spPr>
                    <a:xfrm>
                      <a:off x="0" y="0"/>
                      <a:ext cx="5495925" cy="3152140"/>
                    </a:xfrm>
                    <a:prstGeom prst="rect">
                      <a:avLst/>
                    </a:prstGeom>
                  </pic:spPr>
                </pic:pic>
              </a:graphicData>
            </a:graphic>
            <wp14:sizeRelH relativeFrom="margin">
              <wp14:pctWidth>0</wp14:pctWidth>
            </wp14:sizeRelH>
            <wp14:sizeRelV relativeFrom="margin">
              <wp14:pctHeight>0</wp14:pctHeight>
            </wp14:sizeRelV>
          </wp:anchor>
        </w:drawing>
      </w:r>
      <w:r w:rsidRPr="00EE780A">
        <w:t xml:space="preserve">Wellcome were also </w:t>
      </w:r>
      <w:r>
        <w:t xml:space="preserve">(as above) </w:t>
      </w:r>
      <w:r w:rsidRPr="00EE780A">
        <w:t>part of ReDiscover in 200</w:t>
      </w:r>
      <w:r>
        <w:t>2-</w:t>
      </w:r>
      <w:r w:rsidRPr="00EE780A">
        <w:t xml:space="preserve">3, a £33 million fund provided by the Millennium Commission, the Wellcome Trust and the Wolfson Foundation. Museums </w:t>
      </w:r>
      <w:r>
        <w:t xml:space="preserve">and many Science Centres </w:t>
      </w:r>
      <w:r w:rsidRPr="00EE780A">
        <w:t>were able to compete for this fund.</w:t>
      </w:r>
    </w:p>
    <w:p w14:paraId="4CF9D9C5" w14:textId="77777777" w:rsidR="007A6C6B" w:rsidRDefault="007A6C6B" w:rsidP="007A6C6B">
      <w:pPr>
        <w:pStyle w:val="Heading2"/>
      </w:pPr>
      <w:bookmarkStart w:id="10" w:name="_Toc25879370"/>
    </w:p>
    <w:p w14:paraId="3D6CB4F7" w14:textId="724144D0" w:rsidR="007A6C6B" w:rsidRPr="00EE780A" w:rsidRDefault="007A6C6B" w:rsidP="007A6C6B">
      <w:pPr>
        <w:pStyle w:val="Heading2"/>
      </w:pPr>
      <w:r w:rsidRPr="00EE780A">
        <w:t>Millennium Science Centre Opening Dates</w:t>
      </w:r>
      <w:bookmarkEnd w:id="10"/>
      <w:r>
        <w:t xml:space="preserve"> and 20</w:t>
      </w:r>
      <w:r w:rsidRPr="007A6C6B">
        <w:rPr>
          <w:vertAlign w:val="superscript"/>
        </w:rPr>
        <w:t>th</w:t>
      </w:r>
      <w:r>
        <w:t xml:space="preserve"> anniversaries</w:t>
      </w:r>
    </w:p>
    <w:p w14:paraId="0E674C70" w14:textId="77777777" w:rsidR="007A6C6B" w:rsidRPr="00EE780A" w:rsidRDefault="007A6C6B" w:rsidP="007A6C6B">
      <w:pPr>
        <w:rPr>
          <w:rFonts w:asciiTheme="minorHAnsi" w:hAnsiTheme="minorHAnsi" w:cstheme="minorHAnsi"/>
        </w:rPr>
      </w:pPr>
      <w:r w:rsidRPr="00EE780A">
        <w:rPr>
          <w:rFonts w:asciiTheme="minorHAnsi" w:hAnsiTheme="minorHAnsi" w:cstheme="minorHAnsi"/>
        </w:rPr>
        <w:t>The Millennium Science Centres across the UK opened between 1999 and 2002, depending on which round of funding they were part of, their partnerships and their local needs. They therefore have a range of 20</w:t>
      </w:r>
      <w:r w:rsidRPr="00EE780A">
        <w:rPr>
          <w:rFonts w:asciiTheme="minorHAnsi" w:hAnsiTheme="minorHAnsi" w:cstheme="minorHAnsi"/>
          <w:vertAlign w:val="superscript"/>
        </w:rPr>
        <w:t>th</w:t>
      </w:r>
      <w:r w:rsidRPr="00EE780A">
        <w:rPr>
          <w:rFonts w:asciiTheme="minorHAnsi" w:hAnsiTheme="minorHAnsi" w:cstheme="minorHAnsi"/>
        </w:rPr>
        <w:t xml:space="preserve"> anniversary dates spread across three years (2019 – 2022).</w:t>
      </w:r>
    </w:p>
    <w:p w14:paraId="2BEC286D" w14:textId="77777777" w:rsidR="007A6C6B" w:rsidRPr="00EE780A" w:rsidRDefault="007A6C6B" w:rsidP="007A6C6B">
      <w:pPr>
        <w:rPr>
          <w:rFonts w:asciiTheme="minorHAnsi" w:hAnsiTheme="minorHAnsi" w:cstheme="minorHAnsi"/>
        </w:rPr>
      </w:pPr>
      <w:r w:rsidRPr="00EE780A">
        <w:rPr>
          <w:rFonts w:asciiTheme="minorHAnsi" w:hAnsiTheme="minorHAnsi" w:cstheme="minorHAnsi"/>
        </w:rPr>
        <w:t>For example, The Centre for Life in Newcastle opened in 2000 and they have a series of celebratory and birthday events in their programme for their 20</w:t>
      </w:r>
      <w:r w:rsidRPr="00EE780A">
        <w:rPr>
          <w:rFonts w:asciiTheme="minorHAnsi" w:hAnsiTheme="minorHAnsi" w:cstheme="minorHAnsi"/>
          <w:vertAlign w:val="superscript"/>
        </w:rPr>
        <w:t>th</w:t>
      </w:r>
      <w:r w:rsidRPr="00EE780A">
        <w:rPr>
          <w:rFonts w:asciiTheme="minorHAnsi" w:hAnsiTheme="minorHAnsi" w:cstheme="minorHAnsi"/>
        </w:rPr>
        <w:t xml:space="preserve"> anniversary in 2020. Winchester Science Centre opened in 2002 and have 20</w:t>
      </w:r>
      <w:r w:rsidRPr="00EE780A">
        <w:rPr>
          <w:rFonts w:asciiTheme="minorHAnsi" w:hAnsiTheme="minorHAnsi" w:cstheme="minorHAnsi"/>
          <w:vertAlign w:val="superscript"/>
        </w:rPr>
        <w:t>th</w:t>
      </w:r>
      <w:r w:rsidRPr="00EE780A">
        <w:rPr>
          <w:rFonts w:asciiTheme="minorHAnsi" w:hAnsiTheme="minorHAnsi" w:cstheme="minorHAnsi"/>
        </w:rPr>
        <w:t xml:space="preserve"> anniversary activities in their diaries for 2022.</w:t>
      </w:r>
    </w:p>
    <w:p w14:paraId="52F8806C" w14:textId="0476AA7C" w:rsidR="007A6C6B" w:rsidRDefault="007A6C6B" w:rsidP="007A6C6B">
      <w:pPr>
        <w:rPr>
          <w:rFonts w:asciiTheme="minorHAnsi" w:hAnsiTheme="minorHAnsi" w:cstheme="minorHAnsi"/>
        </w:rPr>
      </w:pPr>
      <w:r w:rsidRPr="00EE780A">
        <w:rPr>
          <w:rFonts w:asciiTheme="minorHAnsi" w:hAnsiTheme="minorHAnsi" w:cstheme="minorHAnsi"/>
        </w:rPr>
        <w:t xml:space="preserve">The UK science centre sector, and the ASDC network that brings the centres together, is often viewed as a world-leader. We are the largest and most active European national network of science centres </w:t>
      </w:r>
      <w:r>
        <w:rPr>
          <w:rFonts w:asciiTheme="minorHAnsi" w:hAnsiTheme="minorHAnsi" w:cstheme="minorHAnsi"/>
        </w:rPr>
        <w:t>and we are very much part of the</w:t>
      </w:r>
      <w:r w:rsidRPr="00EE780A">
        <w:rPr>
          <w:rFonts w:asciiTheme="minorHAnsi" w:hAnsiTheme="minorHAnsi" w:cstheme="minorHAnsi"/>
        </w:rPr>
        <w:t xml:space="preserve"> European Science Centre networks</w:t>
      </w:r>
      <w:r>
        <w:rPr>
          <w:rFonts w:asciiTheme="minorHAnsi" w:hAnsiTheme="minorHAnsi" w:cstheme="minorHAnsi"/>
        </w:rPr>
        <w:t xml:space="preserve"> </w:t>
      </w:r>
      <w:r w:rsidRPr="00EE780A">
        <w:rPr>
          <w:rFonts w:asciiTheme="minorHAnsi" w:hAnsiTheme="minorHAnsi" w:cstheme="minorHAnsi"/>
        </w:rPr>
        <w:t>meetings. We also collaborate closely with the American Association of Science and Technology Centers</w:t>
      </w:r>
      <w:r>
        <w:rPr>
          <w:rFonts w:asciiTheme="minorHAnsi" w:hAnsiTheme="minorHAnsi" w:cstheme="minorHAnsi"/>
        </w:rPr>
        <w:t xml:space="preserve"> (ASTC)</w:t>
      </w:r>
      <w:r w:rsidRPr="00EE780A">
        <w:rPr>
          <w:rFonts w:asciiTheme="minorHAnsi" w:hAnsiTheme="minorHAnsi" w:cstheme="minorHAnsi"/>
        </w:rPr>
        <w:t>, and other continental networks such as the Asian and South American Networks.</w:t>
      </w:r>
    </w:p>
    <w:p w14:paraId="5776FF05" w14:textId="0B224C35" w:rsidR="00E778C6" w:rsidRDefault="00E778C6" w:rsidP="007A6C6B">
      <w:pPr>
        <w:rPr>
          <w:rFonts w:asciiTheme="minorHAnsi" w:hAnsiTheme="minorHAnsi" w:cstheme="minorHAnsi"/>
        </w:rPr>
      </w:pPr>
    </w:p>
    <w:p w14:paraId="3DD23FE8" w14:textId="0E382652" w:rsidR="00E778C6" w:rsidRPr="00E778C6" w:rsidRDefault="00E778C6" w:rsidP="00E778C6">
      <w:pPr>
        <w:jc w:val="right"/>
        <w:rPr>
          <w:rFonts w:asciiTheme="minorHAnsi" w:hAnsiTheme="minorHAnsi" w:cstheme="minorHAnsi"/>
          <w:b/>
          <w:bCs/>
        </w:rPr>
      </w:pPr>
      <w:r w:rsidRPr="00E778C6">
        <w:rPr>
          <w:rFonts w:asciiTheme="minorHAnsi" w:hAnsiTheme="minorHAnsi" w:cstheme="minorHAnsi"/>
          <w:b/>
          <w:bCs/>
        </w:rPr>
        <w:t>Summary by Dr Penny fidler, April 2020</w:t>
      </w:r>
    </w:p>
    <w:p w14:paraId="22637E23" w14:textId="77777777" w:rsidR="007A6C6B" w:rsidRPr="00EE780A" w:rsidRDefault="007A6C6B" w:rsidP="007A6C6B">
      <w:pPr>
        <w:pStyle w:val="Heading2"/>
        <w:rPr>
          <w:rFonts w:asciiTheme="minorHAnsi" w:hAnsiTheme="minorHAnsi" w:cstheme="minorHAnsi"/>
        </w:rPr>
      </w:pPr>
      <w:bookmarkStart w:id="11" w:name="_Toc25879371"/>
      <w:r w:rsidRPr="00EE780A">
        <w:rPr>
          <w:rFonts w:asciiTheme="minorHAnsi" w:hAnsiTheme="minorHAnsi" w:cstheme="minorHAnsi"/>
        </w:rPr>
        <w:lastRenderedPageBreak/>
        <w:t xml:space="preserve">Map of The UK Science Centres </w:t>
      </w:r>
      <w:r>
        <w:rPr>
          <w:rFonts w:asciiTheme="minorHAnsi" w:hAnsiTheme="minorHAnsi" w:cstheme="minorHAnsi"/>
        </w:rPr>
        <w:t>that had</w:t>
      </w:r>
      <w:r w:rsidRPr="00EE780A">
        <w:rPr>
          <w:rFonts w:asciiTheme="minorHAnsi" w:hAnsiTheme="minorHAnsi" w:cstheme="minorHAnsi"/>
        </w:rPr>
        <w:t xml:space="preserve"> </w:t>
      </w:r>
      <w:r>
        <w:rPr>
          <w:rFonts w:asciiTheme="minorHAnsi" w:hAnsiTheme="minorHAnsi" w:cstheme="minorHAnsi"/>
        </w:rPr>
        <w:t xml:space="preserve">some </w:t>
      </w:r>
      <w:r w:rsidRPr="00EE780A">
        <w:rPr>
          <w:rFonts w:asciiTheme="minorHAnsi" w:hAnsiTheme="minorHAnsi" w:cstheme="minorHAnsi"/>
        </w:rPr>
        <w:t xml:space="preserve">Millennium Commission investment </w:t>
      </w:r>
      <w:r>
        <w:rPr>
          <w:rFonts w:asciiTheme="minorHAnsi" w:hAnsiTheme="minorHAnsi" w:cstheme="minorHAnsi"/>
        </w:rPr>
        <w:t>for their initial build.</w:t>
      </w:r>
      <w:bookmarkEnd w:id="11"/>
    </w:p>
    <w:p w14:paraId="1804136E" w14:textId="10EC73E4" w:rsidR="003C74FD" w:rsidRDefault="007A6C6B" w:rsidP="007A6C6B">
      <w:pPr>
        <w:ind w:hanging="426"/>
      </w:pPr>
      <w:r w:rsidRPr="00EE780A">
        <w:rPr>
          <w:noProof/>
        </w:rPr>
        <w:t xml:space="preserve">  </w:t>
      </w:r>
      <w:r>
        <w:rPr>
          <w:noProof/>
          <w:lang w:eastAsia="en-GB"/>
        </w:rPr>
        <w:drawing>
          <wp:inline distT="0" distB="0" distL="0" distR="0" wp14:anchorId="19EED2C4" wp14:editId="6F6F03AA">
            <wp:extent cx="6013554" cy="782913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llennium Commission Funded Centres - Option 2 (Cait Edit2).png"/>
                    <pic:cNvPicPr/>
                  </pic:nvPicPr>
                  <pic:blipFill>
                    <a:blip r:embed="rId8">
                      <a:extLst>
                        <a:ext uri="{28A0092B-C50C-407E-A947-70E740481C1C}">
                          <a14:useLocalDpi xmlns:a14="http://schemas.microsoft.com/office/drawing/2010/main" val="0"/>
                        </a:ext>
                      </a:extLst>
                    </a:blip>
                    <a:stretch>
                      <a:fillRect/>
                    </a:stretch>
                  </pic:blipFill>
                  <pic:spPr>
                    <a:xfrm>
                      <a:off x="0" y="0"/>
                      <a:ext cx="6014765" cy="7830712"/>
                    </a:xfrm>
                    <a:prstGeom prst="rect">
                      <a:avLst/>
                    </a:prstGeom>
                  </pic:spPr>
                </pic:pic>
              </a:graphicData>
            </a:graphic>
          </wp:inline>
        </w:drawing>
      </w:r>
    </w:p>
    <w:sectPr w:rsidR="003C74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2770CA"/>
    <w:multiLevelType w:val="hybridMultilevel"/>
    <w:tmpl w:val="8F287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0243F2"/>
    <w:multiLevelType w:val="hybridMultilevel"/>
    <w:tmpl w:val="9DE8364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C71249"/>
    <w:multiLevelType w:val="hybridMultilevel"/>
    <w:tmpl w:val="496888F8"/>
    <w:lvl w:ilvl="0" w:tplc="A27E431E">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F602A2"/>
    <w:multiLevelType w:val="hybridMultilevel"/>
    <w:tmpl w:val="6348458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283DA7"/>
    <w:multiLevelType w:val="hybridMultilevel"/>
    <w:tmpl w:val="D8F26A1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C6B"/>
    <w:rsid w:val="002D2051"/>
    <w:rsid w:val="003C74FD"/>
    <w:rsid w:val="00536980"/>
    <w:rsid w:val="00646C18"/>
    <w:rsid w:val="00693AF7"/>
    <w:rsid w:val="007A6C6B"/>
    <w:rsid w:val="00963F70"/>
    <w:rsid w:val="00B57A58"/>
    <w:rsid w:val="00E77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25B43"/>
  <w15:chartTrackingRefBased/>
  <w15:docId w15:val="{AAE9B024-2CF8-4C64-A3FF-73584D3AF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C6B"/>
    <w:pPr>
      <w:spacing w:after="200" w:line="276" w:lineRule="auto"/>
    </w:pPr>
    <w:rPr>
      <w:rFonts w:eastAsia="Calibri" w:cs="Times New Roman"/>
    </w:rPr>
  </w:style>
  <w:style w:type="paragraph" w:styleId="Heading1">
    <w:name w:val="heading 1"/>
    <w:basedOn w:val="Normal"/>
    <w:next w:val="Normal"/>
    <w:link w:val="Heading1Char"/>
    <w:uiPriority w:val="99"/>
    <w:qFormat/>
    <w:rsid w:val="007A6C6B"/>
    <w:pPr>
      <w:keepNext/>
      <w:keepLines/>
      <w:numPr>
        <w:numId w:val="1"/>
      </w:numPr>
      <w:spacing w:before="480" w:line="240" w:lineRule="auto"/>
      <w:ind w:left="0" w:firstLine="0"/>
      <w:outlineLvl w:val="0"/>
    </w:pPr>
    <w:rPr>
      <w:b/>
      <w:bCs/>
      <w:color w:val="365F91"/>
      <w:sz w:val="32"/>
      <w:szCs w:val="28"/>
    </w:rPr>
  </w:style>
  <w:style w:type="paragraph" w:styleId="Heading2">
    <w:name w:val="heading 2"/>
    <w:basedOn w:val="Normal"/>
    <w:next w:val="Normal"/>
    <w:link w:val="Heading2Char"/>
    <w:uiPriority w:val="99"/>
    <w:qFormat/>
    <w:rsid w:val="007A6C6B"/>
    <w:pPr>
      <w:keepNext/>
      <w:spacing w:before="240" w:after="60"/>
      <w:outlineLvl w:val="1"/>
    </w:pPr>
    <w:rPr>
      <w:rFonts w:cs="Arial"/>
      <w:b/>
      <w:bCs/>
      <w:iCs/>
      <w:color w:val="2F5496" w:themeColor="accent1" w:themeShade="BF"/>
      <w:sz w:val="28"/>
      <w:szCs w:val="28"/>
    </w:rPr>
  </w:style>
  <w:style w:type="paragraph" w:styleId="Heading3">
    <w:name w:val="heading 3"/>
    <w:basedOn w:val="Normal"/>
    <w:next w:val="Normal"/>
    <w:link w:val="Heading3Char"/>
    <w:unhideWhenUsed/>
    <w:qFormat/>
    <w:rsid w:val="007A6C6B"/>
    <w:pPr>
      <w:keepNext/>
      <w:keepLines/>
      <w:spacing w:before="200" w:after="0"/>
      <w:outlineLvl w:val="2"/>
    </w:pPr>
    <w:rPr>
      <w:rFonts w:eastAsiaTheme="majorEastAsia" w:cstheme="majorBidi"/>
      <w:b/>
      <w:bCs/>
      <w:color w:val="4472C4"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A6C6B"/>
    <w:rPr>
      <w:rFonts w:eastAsia="Calibri" w:cs="Times New Roman"/>
      <w:b/>
      <w:bCs/>
      <w:color w:val="365F91"/>
      <w:sz w:val="32"/>
      <w:szCs w:val="28"/>
    </w:rPr>
  </w:style>
  <w:style w:type="character" w:customStyle="1" w:styleId="Heading2Char">
    <w:name w:val="Heading 2 Char"/>
    <w:basedOn w:val="DefaultParagraphFont"/>
    <w:link w:val="Heading2"/>
    <w:uiPriority w:val="99"/>
    <w:rsid w:val="007A6C6B"/>
    <w:rPr>
      <w:rFonts w:eastAsia="Calibri" w:cs="Arial"/>
      <w:b/>
      <w:bCs/>
      <w:iCs/>
      <w:color w:val="2F5496" w:themeColor="accent1" w:themeShade="BF"/>
      <w:sz w:val="28"/>
      <w:szCs w:val="28"/>
    </w:rPr>
  </w:style>
  <w:style w:type="character" w:customStyle="1" w:styleId="Heading3Char">
    <w:name w:val="Heading 3 Char"/>
    <w:basedOn w:val="DefaultParagraphFont"/>
    <w:link w:val="Heading3"/>
    <w:rsid w:val="007A6C6B"/>
    <w:rPr>
      <w:rFonts w:eastAsiaTheme="majorEastAsia" w:cstheme="majorBidi"/>
      <w:b/>
      <w:bCs/>
      <w:color w:val="4472C4" w:themeColor="accent1"/>
      <w:sz w:val="24"/>
    </w:rPr>
  </w:style>
  <w:style w:type="paragraph" w:styleId="ListParagraph">
    <w:name w:val="List Paragraph"/>
    <w:basedOn w:val="Normal"/>
    <w:uiPriority w:val="34"/>
    <w:qFormat/>
    <w:rsid w:val="007A6C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977</Words>
  <Characters>5571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Fidler</dc:creator>
  <cp:keywords/>
  <dc:description/>
  <cp:lastModifiedBy>ASDC</cp:lastModifiedBy>
  <cp:revision>2</cp:revision>
  <dcterms:created xsi:type="dcterms:W3CDTF">2020-05-05T17:07:00Z</dcterms:created>
  <dcterms:modified xsi:type="dcterms:W3CDTF">2020-05-05T17:07:00Z</dcterms:modified>
</cp:coreProperties>
</file>